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</w:pPr>
      <w:r>
        <w:rPr>
          <w:rFonts w:ascii="Times New Roman" w:eastAsia="Times New Roman" w:hAnsi="Times New Roman" w:cs="Times New Roman"/>
          <w:color w:val="000000"/>
          <w:sz w:val="24"/>
        </w:rPr>
        <w:t>Зарегистрировано в Минюсте России 20 августа 2025 г. N 83248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------------------------------------------------------------------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4" w:lineRule="atLeast"/>
        <w:jc w:val="center"/>
      </w:pPr>
      <w:r>
        <w:rPr>
          <w:rFonts w:ascii="Arial" w:eastAsia="Arial" w:hAnsi="Arial" w:cs="Arial"/>
          <w:b/>
          <w:color w:val="000000"/>
          <w:sz w:val="24"/>
        </w:rPr>
        <w:t>МИНИСТЕРСТВО ФИНАНСОВ РОССИЙСКОЙ ФЕДЕРАЦИИ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ФЕДЕРАЛЬНОЕ АГЕНТСТВО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ПО УПРАВЛЕНИЮ ГОСУДАРСТВЕННЫМ ИМУЩЕСТВОМ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4" w:lineRule="atLeast"/>
        <w:jc w:val="center"/>
      </w:pPr>
      <w:r>
        <w:rPr>
          <w:rFonts w:ascii="Arial" w:eastAsia="Arial" w:hAnsi="Arial" w:cs="Arial"/>
          <w:b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ПРИКАЗ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от 21 июля 2025 г. N 100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74" w:lineRule="atLeast"/>
        <w:jc w:val="center"/>
      </w:pPr>
      <w:r>
        <w:rPr>
          <w:rFonts w:ascii="Arial" w:eastAsia="Arial" w:hAnsi="Arial" w:cs="Arial"/>
          <w:b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ОБ УТВЕРЖДЕНИИ ПОРЯДКА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УВЕДОМЛЕНИЯ ФЕДЕРАЛЬНЫМИ ГОСУДАРСТВЕННЫМИ ГРАЖДАНСКИМИ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СЛУЖАЩИМИ ФЕДЕРАЛЬНОГО АГЕНТСТВА ПО УПРАВЛЕНИЮ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ГОСУДАРСТВЕННЫМ ИМУЩЕСТВОМ И ЕГО ТЕРРИТОРИАЛЬНЫХ ОРГАНОВ,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РАБОТНИКАМИ, ЗАМЕЩАЮЩИМИ ОТДЕЛЬНЫЕ ДОЛЖНОСТИ Н</w:t>
      </w:r>
      <w:r>
        <w:rPr>
          <w:rFonts w:ascii="Arial" w:eastAsia="Arial" w:hAnsi="Arial" w:cs="Arial"/>
          <w:b/>
          <w:color w:val="000000"/>
          <w:sz w:val="24"/>
        </w:rPr>
        <w:t>А ОСНОВАНИИ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ТРУДОВОГО ДОГОВОРА В ОРГАНИЗАЦИЯХ, СОЗДАННЫХ ДЛЯ ВЫПОЛНЕНИЯ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ЗАДАЧ, ПОСТАВЛЕННЫХ ПЕРЕД ФЕДЕРАЛЬНЫМ АГЕНТСТВОМ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ПО УПРАВЛЕНИЮ ГОСУДАРСТВЕННЫМ ИМУЩЕСТВОМ, О ВОЗНИКНОВЕНИИ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ЛИЧНОЙ ЗАИНТЕРЕСОВАННОСТИ ПРИ ИСПОЛНЕНИИ ДОЛЖНОСТНЫХ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(ТРУДОВЫХ) ОБЯЗАННОСТЕЙ,</w:t>
      </w:r>
      <w:r>
        <w:rPr>
          <w:rFonts w:ascii="Arial" w:eastAsia="Arial" w:hAnsi="Arial" w:cs="Arial"/>
          <w:b/>
          <w:color w:val="000000"/>
          <w:sz w:val="24"/>
        </w:rPr>
        <w:t xml:space="preserve"> КОТОРАЯ ПРИВОДИТ ИЛИ МОЖЕТ ПРИВЕСТИ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К КОНФЛИКТУ ИНТЕРЕСОВ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FF"/>
          <w:sz w:val="24"/>
        </w:rPr>
        <w:t>подпунктом "а" пункта 3 статьи 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4"/>
        </w:rPr>
        <w:t>частью 2 статьи 11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FF"/>
          <w:sz w:val="24"/>
        </w:rPr>
        <w:t>статьей 11.1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Федерального закона от 25 декабря 2008 г. N 273-ФЗ "О противодействии коррупции", </w:t>
      </w:r>
      <w:r>
        <w:rPr>
          <w:rFonts w:ascii="Times New Roman" w:eastAsia="Times New Roman" w:hAnsi="Times New Roman" w:cs="Times New Roman"/>
          <w:color w:val="0000FF"/>
          <w:sz w:val="24"/>
        </w:rPr>
        <w:t>подпунктом "а" пункта 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 </w:t>
      </w:r>
      <w:r>
        <w:rPr>
          <w:rFonts w:ascii="Times New Roman" w:eastAsia="Times New Roman" w:hAnsi="Times New Roman" w:cs="Times New Roman"/>
          <w:color w:val="0000FF"/>
          <w:sz w:val="24"/>
        </w:rPr>
        <w:t>абзацем пятым подпункта "в" пункта 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постановления Правительства Росс</w:t>
      </w:r>
      <w:r>
        <w:rPr>
          <w:rFonts w:ascii="Times New Roman" w:eastAsia="Times New Roman" w:hAnsi="Times New Roman" w:cs="Times New Roman"/>
          <w:color w:val="000000"/>
          <w:sz w:val="24"/>
        </w:rPr>
        <w:t>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</w:t>
      </w:r>
      <w:r>
        <w:rPr>
          <w:rFonts w:ascii="Times New Roman" w:eastAsia="Times New Roman" w:hAnsi="Times New Roman" w:cs="Times New Roman"/>
          <w:color w:val="000000"/>
          <w:sz w:val="24"/>
        </w:rPr>
        <w:t>ии" приказываю: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tLeast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утвердить прилагаемый </w:t>
      </w:r>
      <w:r>
        <w:rPr>
          <w:rFonts w:ascii="Times New Roman" w:eastAsia="Times New Roman" w:hAnsi="Times New Roman" w:cs="Times New Roman"/>
          <w:color w:val="0000FF"/>
          <w:sz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работниками, замещающими отдельные должности на ос</w:t>
      </w:r>
      <w:r>
        <w:rPr>
          <w:rFonts w:ascii="Times New Roman" w:eastAsia="Times New Roman" w:hAnsi="Times New Roman" w:cs="Times New Roman"/>
          <w:color w:val="000000"/>
          <w:sz w:val="24"/>
        </w:rPr>
        <w:t>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о возникновении личной заинтересованности при исполнении должностных (трудовых) обязанностей, кот</w:t>
      </w:r>
      <w:r>
        <w:rPr>
          <w:rFonts w:ascii="Times New Roman" w:eastAsia="Times New Roman" w:hAnsi="Times New Roman" w:cs="Times New Roman"/>
          <w:color w:val="000000"/>
          <w:sz w:val="24"/>
        </w:rPr>
        <w:t>орая приводит или может привести к конфликту интересов.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F83F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Руководитель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В.В.ЯКОВЕНКО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Утвержден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приказом Федерального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агентства по управлению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государственным имуществом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от 21.07.2025 N 100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ПОРЯДОК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УВЕДОМЛЕНИЯ ФЕДЕРАЛЬНЫМИ ГОСУДАРСТВЕННЫМИ ГРАЖДАНСКИМИ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СЛУЖАЩИМИ ФЕДЕРАЛЬНОГО АГЕНТСТВА ПО УПРАВЛЕНИЮ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ГОСУДАРСТВЕННЫМ ИМУЩЕСТВОМ И ЕГО ТЕРРИТОРИАЛЬНЫХ ОРГАНОВ,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РАБОТНИКАМИ, ЗАМЕЩАЮЩИМИ ОТДЕЛЬНЫЕ ДОЛЖНОСТИ НА ОСНОВАНИИ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ТРУДОВОГО ДОГОВОРА В ОРГАНИЗАЦИЯХ, СОЗДАННЫХ ДЛЯ ВЫПОЛНЕНИЯ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ЗАДАЧ, ПОСТАВЛЕННЫХ ПЕРЕД ФЕДЕРАЛЬНЫМ АГЕНТСТВОМ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ПО УПРАВЛЕНИЮ ГОСУДАРСТВЕННЫМ ИМУЩЕСТВОМ, О ВОЗНИКНОВЕНИИ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ЛИЧНОЙ ЗАИНТЕРЕСОВАННОСТИ ПРИ ИСПОЛНЕНИИ ДОЛЖНОСТНЫХ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(ТРУДОВЫХ) ОБЯЗАННОСТЕЙ, КОТОРАЯ ПРИ</w:t>
      </w:r>
      <w:r>
        <w:rPr>
          <w:rFonts w:ascii="Arial" w:eastAsia="Arial" w:hAnsi="Arial" w:cs="Arial"/>
          <w:b/>
          <w:color w:val="000000"/>
          <w:sz w:val="24"/>
        </w:rPr>
        <w:t>ВОДИТ ИЛИ МОЖЕТ ПРИВЕСТИ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4"/>
        </w:rPr>
        <w:t>К КОНФЛИКТУ ИНТЕРЕСОВ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1. Настоящий Порядок устанавливает процедуру уведомления федеральными государственными гражданскими служащими Федерального агентства по управлению государственным имуществом (за исключением лиц, замещающих д</w:t>
      </w:r>
      <w:r>
        <w:rPr>
          <w:rFonts w:ascii="Times New Roman" w:eastAsia="Times New Roman" w:hAnsi="Times New Roman" w:cs="Times New Roman"/>
          <w:color w:val="000000"/>
          <w:sz w:val="24"/>
        </w:rPr>
        <w:t>олжности федеральной государственной гражданской службы, назначение на которые и освобождение от которых осуществляется Правительством Российской Федерации) &lt;1&gt; и его территориальных органов (далее соответственно - Гражданские служащие Росимущества, Гражда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нские служащие территориальных органов Росимущества, при совместном упоминании - Гражданские служащие), работниками, замещающими отдельные должности, включенные в </w:t>
      </w:r>
      <w:r>
        <w:rPr>
          <w:rFonts w:ascii="Times New Roman" w:eastAsia="Times New Roman" w:hAnsi="Times New Roman" w:cs="Times New Roman"/>
          <w:color w:val="0000FF"/>
          <w:sz w:val="24"/>
        </w:rPr>
        <w:t>перечень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должностей, замещаемых на основании трудового договора в организациях, созданных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выполнения задач, поставленных перед Федеральным агентством по управлению государственным имуществом, при назначении на которые граждане и при замещении которых работники обязаны представлять сведения о своих доходах, расходах, об имуществе и обязательств</w:t>
      </w:r>
      <w:r>
        <w:rPr>
          <w:rFonts w:ascii="Times New Roman" w:eastAsia="Times New Roman" w:hAnsi="Times New Roman" w:cs="Times New Roman"/>
          <w:color w:val="000000"/>
          <w:sz w:val="24"/>
        </w:rPr>
        <w:t>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приказом Росимущества от 5 апреля 2022 г. N 57 (зарегистрирован Минис</w:t>
      </w:r>
      <w:r>
        <w:rPr>
          <w:rFonts w:ascii="Times New Roman" w:eastAsia="Times New Roman" w:hAnsi="Times New Roman" w:cs="Times New Roman"/>
          <w:color w:val="000000"/>
          <w:sz w:val="24"/>
        </w:rPr>
        <w:t>терством юстиции Российской Федерации 13 мая 2022 г., регистрационный N 68466), с изменениями, внесенными приказом Росимущества от 10 июля 2024 г. N 108 (зарегистрирован Министерством юстиции Российской Федерации 6 августа 2024 г., регистрационный N 79034)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(далее соответственно - Работники подведомственных организаций, Организации),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--------------------------------</w:t>
      </w:r>
    </w:p>
    <w:p w:rsidR="00F83F37" w:rsidRPr="0076286E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40" w:lineRule="auto"/>
        <w:ind w:firstLine="539"/>
        <w:jc w:val="both"/>
        <w:rPr>
          <w:sz w:val="20"/>
          <w:szCs w:val="20"/>
        </w:rPr>
      </w:pPr>
      <w:r w:rsidRPr="007628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&lt;1&gt; </w:t>
      </w:r>
      <w:r w:rsidRPr="0076286E">
        <w:rPr>
          <w:rFonts w:ascii="Times New Roman" w:eastAsia="Times New Roman" w:hAnsi="Times New Roman" w:cs="Times New Roman"/>
          <w:color w:val="0000FF"/>
          <w:sz w:val="20"/>
          <w:szCs w:val="20"/>
        </w:rPr>
        <w:t>Положение</w:t>
      </w:r>
      <w:r w:rsidRPr="007628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</w:t>
      </w:r>
      <w:r w:rsidRPr="0076286E">
        <w:rPr>
          <w:rFonts w:ascii="Times New Roman" w:eastAsia="Times New Roman" w:hAnsi="Times New Roman" w:cs="Times New Roman"/>
          <w:color w:val="000000"/>
          <w:sz w:val="20"/>
          <w:szCs w:val="20"/>
        </w:rPr>
        <w:t>лнении должностных обязанностей, которая приводит или может привести к конфликту интересов, утвержденное Указом Президента Российской Федерации от 22 декабря 2015 г. N 650.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2. Гражданские служащие (Работники подведомственных организаций) обязаны уведомля</w:t>
      </w:r>
      <w:r>
        <w:rPr>
          <w:rFonts w:ascii="Times New Roman" w:eastAsia="Times New Roman" w:hAnsi="Times New Roman" w:cs="Times New Roman"/>
          <w:color w:val="000000"/>
          <w:sz w:val="24"/>
        </w:rPr>
        <w:t>ть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3. Уведомление о во</w:t>
      </w:r>
      <w:r>
        <w:rPr>
          <w:rFonts w:ascii="Times New Roman" w:eastAsia="Times New Roman" w:hAnsi="Times New Roman" w:cs="Times New Roman"/>
          <w:color w:val="000000"/>
          <w:sz w:val="24"/>
        </w:rPr>
        <w:t>зникновении личной заинтересованности при исполнении должностных (трудовых) обязанностей, которая приводит или может привести к конфликту интересов (далее - Уведомление), представляется Гражданскими служащими (Работниками подведомственных организаций) в пи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сьменном виде (рекомендуемый образец приведен в </w:t>
      </w:r>
      <w:r>
        <w:rPr>
          <w:rFonts w:ascii="Times New Roman" w:eastAsia="Times New Roman" w:hAnsi="Times New Roman" w:cs="Times New Roman"/>
          <w:color w:val="0000FF"/>
          <w:sz w:val="24"/>
        </w:rPr>
        <w:t>приложении N 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Порядку) не позднее рабочего дня, следующего за днем, когда Гражданскому служащему (Работнику подведомственной организации) стало известно о возможности возникновения конфликта инт</w:t>
      </w:r>
      <w:r>
        <w:rPr>
          <w:rFonts w:ascii="Times New Roman" w:eastAsia="Times New Roman" w:hAnsi="Times New Roman" w:cs="Times New Roman"/>
          <w:color w:val="000000"/>
          <w:sz w:val="24"/>
        </w:rPr>
        <w:t>ересов.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При наличии материалов, имеющих отношение к обстоятельствам, изложенным в Уведомлении, Гражданские служащие (Работники подведомственных организаций) представляют их вместе с Уведомлением.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4. Гражданские служащие Росимущества, заместители руководите</w:t>
      </w:r>
      <w:r>
        <w:rPr>
          <w:rFonts w:ascii="Times New Roman" w:eastAsia="Times New Roman" w:hAnsi="Times New Roman" w:cs="Times New Roman"/>
          <w:color w:val="000000"/>
          <w:sz w:val="24"/>
        </w:rPr>
        <w:t>ля территориальных органов Росимущества, гражданские служащие, временно исполняющие обязанности руководителя территориального органа Росимущества или заместителя руководителя территориального органа Росимущества, Работники подведомственных организаций, зам</w:t>
      </w:r>
      <w:r>
        <w:rPr>
          <w:rFonts w:ascii="Times New Roman" w:eastAsia="Times New Roman" w:hAnsi="Times New Roman" w:cs="Times New Roman"/>
          <w:color w:val="000000"/>
          <w:sz w:val="24"/>
        </w:rPr>
        <w:t>ещающие должности, назначение на которые и освобождение от которых осуществляется руководителем Росимущества либо заместителем руководителя Росимущества, наделенным отдельными полномочиями работодателя, составляют Уведомление на имя руководителя Росимущест</w:t>
      </w:r>
      <w:r>
        <w:rPr>
          <w:rFonts w:ascii="Times New Roman" w:eastAsia="Times New Roman" w:hAnsi="Times New Roman" w:cs="Times New Roman"/>
          <w:color w:val="000000"/>
          <w:sz w:val="24"/>
        </w:rPr>
        <w:t>ва и представляют его в структурное подразделение Росимущества, на которое возложены функции по профилактике коррупционных и иных правонарушений (далее - Отдел противодействия коррупции).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5. Гражданские служащие территориального органа Росимущества (за исключением заместителей руководителей территориальных органов Росимущества) составляют Уведомление на имя руководителя территориального органа Росимущества и представляют его в структурное п</w:t>
      </w:r>
      <w:r>
        <w:rPr>
          <w:rFonts w:ascii="Times New Roman" w:eastAsia="Times New Roman" w:hAnsi="Times New Roman" w:cs="Times New Roman"/>
          <w:color w:val="000000"/>
          <w:sz w:val="24"/>
        </w:rPr>
        <w:t>одразделение (должностному лицу) территориального органа Росимущества, на которое возложены функции по профилактике коррупционных и иных правонарушений (далее - Уполномоченное подразделение (Уполномоченное должностное лицо) территориального органа Росимуще</w:t>
      </w:r>
      <w:r>
        <w:rPr>
          <w:rFonts w:ascii="Times New Roman" w:eastAsia="Times New Roman" w:hAnsi="Times New Roman" w:cs="Times New Roman"/>
          <w:color w:val="000000"/>
          <w:sz w:val="24"/>
        </w:rPr>
        <w:t>ства).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6. Работники подведомственных организаций, назначаемые на должность и освобождаемые от должности руководителем Организации, составляют Уведомление на имя руководителя Организации и представляют его в структурное подразделение (должностному лицу) Орг</w:t>
      </w:r>
      <w:r>
        <w:rPr>
          <w:rFonts w:ascii="Times New Roman" w:eastAsia="Times New Roman" w:hAnsi="Times New Roman" w:cs="Times New Roman"/>
          <w:color w:val="000000"/>
          <w:sz w:val="24"/>
        </w:rPr>
        <w:t>анизации, на которое возложены функции по профилактике коррупционных и иных правонарушений (далее - Структурное подразделение (Ответственное должностное лицо) организации).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7. Лица, замещающие должности федеральной государственной гражданской службы в Феде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ральном агентстве по управлению государственным имуществом и его территориальных органах, назначение на которые и освобождение от которых осуществляется Министром финансов Российской Федерации, руководствуются </w:t>
      </w:r>
      <w:r>
        <w:rPr>
          <w:rFonts w:ascii="Times New Roman" w:eastAsia="Times New Roman" w:hAnsi="Times New Roman" w:cs="Times New Roman"/>
          <w:color w:val="0000FF"/>
          <w:sz w:val="24"/>
        </w:rPr>
        <w:t>Порядком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уведомления федеральными государствен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ными гражданскими служащими Министерства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финансов Российской Федерации и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агентства, нахо</w:t>
      </w:r>
      <w:r>
        <w:rPr>
          <w:rFonts w:ascii="Times New Roman" w:eastAsia="Times New Roman" w:hAnsi="Times New Roman" w:cs="Times New Roman"/>
          <w:color w:val="000000"/>
          <w:sz w:val="24"/>
        </w:rPr>
        <w:t>дящихся в ведении Министерства финансов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приказом Минфина России от 8 апреля 202</w:t>
      </w:r>
      <w:r>
        <w:rPr>
          <w:rFonts w:ascii="Times New Roman" w:eastAsia="Times New Roman" w:hAnsi="Times New Roman" w:cs="Times New Roman"/>
          <w:color w:val="000000"/>
          <w:sz w:val="24"/>
        </w:rPr>
        <w:t>0 г. N 62н (зарегистрирован Министерством юстиции Российской Федерации 21 мая 2020 г., регистрационный N 58424).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8. Уведомление передается Гражданскими служащими (Работниками подведомственных организаций) лично либо направляется посредством почтовой связи.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9. 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(трудовых) обязанностей, которая приводит или может привести к конфликту интересов (далее - Журнал)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(рекомендуемый образец приведен в </w:t>
      </w:r>
      <w:r>
        <w:rPr>
          <w:rFonts w:ascii="Times New Roman" w:eastAsia="Times New Roman" w:hAnsi="Times New Roman" w:cs="Times New Roman"/>
          <w:color w:val="0000FF"/>
          <w:sz w:val="24"/>
        </w:rPr>
        <w:t>приложении N 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Порядку):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Росимуществе - Отделом противодействия коррупции;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территориальном органе Росимущества - Уполномоченным подразделением (Уполномоченным должностным лицом) территориального органа Росимущества;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 Организации - Структурным подразделением (Ответственным должностным лицом) организации.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10. Копия зарегистриров</w:t>
      </w:r>
      <w:r>
        <w:rPr>
          <w:rFonts w:ascii="Times New Roman" w:eastAsia="Times New Roman" w:hAnsi="Times New Roman" w:cs="Times New Roman"/>
          <w:color w:val="000000"/>
          <w:sz w:val="24"/>
        </w:rPr>
        <w:t>анного Уведомления выдается Гражданскому служащему (Работнику подведомственной организации), подтверждающему ее получение путем проставления личной подписи в соответствующей графе Журнала, либо направляется посредством почтовой связи с уведомлением о вруче</w:t>
      </w:r>
      <w:r>
        <w:rPr>
          <w:rFonts w:ascii="Times New Roman" w:eastAsia="Times New Roman" w:hAnsi="Times New Roman" w:cs="Times New Roman"/>
          <w:color w:val="000000"/>
          <w:sz w:val="24"/>
        </w:rPr>
        <w:t>нии.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11. Отдел противодействия коррупции, Уполномоченное подразделение (Уполномоченное должностное лицо) территориального органа Росимущества, Структурное подразделение (Ответственное должностное лицо) организации осуществляют предварительное рассмотрение </w:t>
      </w:r>
      <w:r>
        <w:rPr>
          <w:rFonts w:ascii="Times New Roman" w:eastAsia="Times New Roman" w:hAnsi="Times New Roman" w:cs="Times New Roman"/>
          <w:color w:val="000000"/>
          <w:sz w:val="24"/>
        </w:rPr>
        <w:t>Уведомления, по результатам которого подготавливается докладная записка.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 Не позднее 7 рабочих дней, следующих за днем регистрации Уведомления в Журнале, соответствующее подразделение (должностное лицо), указанное в </w:t>
      </w:r>
      <w:r>
        <w:rPr>
          <w:rFonts w:ascii="Times New Roman" w:eastAsia="Times New Roman" w:hAnsi="Times New Roman" w:cs="Times New Roman"/>
          <w:color w:val="0000FF"/>
          <w:sz w:val="24"/>
        </w:rPr>
        <w:t>пункте 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Порядка, обеспечи</w:t>
      </w:r>
      <w:r>
        <w:rPr>
          <w:rFonts w:ascii="Times New Roman" w:eastAsia="Times New Roman" w:hAnsi="Times New Roman" w:cs="Times New Roman"/>
          <w:color w:val="000000"/>
          <w:sz w:val="24"/>
        </w:rPr>
        <w:t>вает направление руководителю Росимущества (руководителю территориального органа Росимущества, руководителю Организации) Уведомления, докладной записки и других материалов, полученных в ходе предварительного рассмотрения Уведомления.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13. Руководитель Росим</w:t>
      </w:r>
      <w:r>
        <w:rPr>
          <w:rFonts w:ascii="Times New Roman" w:eastAsia="Times New Roman" w:hAnsi="Times New Roman" w:cs="Times New Roman"/>
          <w:color w:val="000000"/>
          <w:sz w:val="24"/>
        </w:rPr>
        <w:t>ущества (руководитель территориального органа Росимущества, руководитель Организации) по результатам рассмотрения Уведомления принимает одно из следующих решений: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а) признать, что при исполнении должностных (трудовых) обязанностей Гражданским служащим (Раб</w:t>
      </w:r>
      <w:r>
        <w:rPr>
          <w:rFonts w:ascii="Times New Roman" w:eastAsia="Times New Roman" w:hAnsi="Times New Roman" w:cs="Times New Roman"/>
          <w:color w:val="000000"/>
          <w:sz w:val="24"/>
        </w:rPr>
        <w:t>отником подведомственной организации), представившим Уведомление, конфликт интересов отсутствует;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б) признать, что при исполнении должностных (трудовых) обязанностей Гражданским служащим (Работником подведомственной организации), представившим Уведомление,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личная заинтересованность приводит или может привести к конфликту интересов;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в) признать, что Гражданским служащим (Работником подведомственной организации), представившим Уведомление, не соблюдались требования об урегулировании конфликта интересов;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г) ра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ссмотреть Уведомление на заседании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</w:t>
      </w:r>
      <w:r>
        <w:rPr>
          <w:rFonts w:ascii="Times New Roman" w:eastAsia="Times New Roman" w:hAnsi="Times New Roman" w:cs="Times New Roman"/>
          <w:color w:val="000000"/>
          <w:sz w:val="24"/>
        </w:rPr>
        <w:t>задач, поставленных перед Федеральным агентством по управлению государственным имуществом, и урегулированию конфликта интересов (комиссии территориального органа Федерального агентства по управлению государственным имуществом по соблюдению требований к слу</w:t>
      </w:r>
      <w:r>
        <w:rPr>
          <w:rFonts w:ascii="Times New Roman" w:eastAsia="Times New Roman" w:hAnsi="Times New Roman" w:cs="Times New Roman"/>
          <w:color w:val="000000"/>
          <w:sz w:val="24"/>
        </w:rPr>
        <w:t>жебному поведению федеральных государственных гражданских служащих и урегулированию конфликта интересов) &lt;2&gt;.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14. В случае принятия решения, предусмотренного </w:t>
      </w:r>
      <w:r>
        <w:rPr>
          <w:rFonts w:ascii="Times New Roman" w:eastAsia="Times New Roman" w:hAnsi="Times New Roman" w:cs="Times New Roman"/>
          <w:color w:val="0000FF"/>
          <w:sz w:val="24"/>
        </w:rPr>
        <w:t>подпунктом "б" пункта 13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Порядка, руководитель Росимущества (руководитель территориального органа Росимущества, руководитель Организации) в соответствии с законодательством Российской Федерации о противодействии коррупции принимает меры или обеспечивает принятие мер 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предотвращению или урегулированию конфликта интересов.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15. В случае принятия решения, предусмотренного </w:t>
      </w:r>
      <w:r>
        <w:rPr>
          <w:rFonts w:ascii="Times New Roman" w:eastAsia="Times New Roman" w:hAnsi="Times New Roman" w:cs="Times New Roman"/>
          <w:color w:val="0000FF"/>
          <w:sz w:val="24"/>
        </w:rPr>
        <w:t>подпунктом "в" пункта 13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Порядка, руководителем Росимущества (руководителем территориального органа Росимущества, руководителем Организации) </w:t>
      </w:r>
      <w:r>
        <w:rPr>
          <w:rFonts w:ascii="Times New Roman" w:eastAsia="Times New Roman" w:hAnsi="Times New Roman" w:cs="Times New Roman"/>
          <w:color w:val="000000"/>
          <w:sz w:val="24"/>
        </w:rPr>
        <w:t>рассматривается вопрос о проведении проверки для принятия решения о применении в отношении Гражданского служащего (Работника подведомственной организации), представившего Уведомление, мер юридической ответственности, предусмотренных законодательством Росси</w:t>
      </w:r>
      <w:r>
        <w:rPr>
          <w:rFonts w:ascii="Times New Roman" w:eastAsia="Times New Roman" w:hAnsi="Times New Roman" w:cs="Times New Roman"/>
          <w:color w:val="000000"/>
          <w:sz w:val="24"/>
        </w:rPr>
        <w:t>йской Федерации о противодействии коррупции.</w:t>
      </w:r>
    </w:p>
    <w:p w:rsidR="0076286E" w:rsidRPr="0076286E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6286E">
        <w:rPr>
          <w:rFonts w:ascii="Times New Roman" w:eastAsia="Times New Roman" w:hAnsi="Times New Roman" w:cs="Times New Roman"/>
          <w:color w:val="000000"/>
          <w:sz w:val="24"/>
        </w:rPr>
        <w:t>--------------------------------</w:t>
      </w:r>
    </w:p>
    <w:p w:rsidR="0076286E" w:rsidRPr="0076286E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286E">
        <w:rPr>
          <w:rFonts w:ascii="Times New Roman" w:eastAsia="Times New Roman" w:hAnsi="Times New Roman" w:cs="Times New Roman"/>
          <w:color w:val="000000"/>
          <w:sz w:val="20"/>
          <w:szCs w:val="20"/>
        </w:rPr>
        <w:t>&lt;2&gt; Положение о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 и Положение о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интересов, утвержденные приказом Росимущества от 29 ноября 2023 г. N 238 (зарегистрирован Министерством юстиции Российской Федерации 10 января 2024 г., регистрационный N 76804).</w:t>
      </w:r>
    </w:p>
    <w:p w:rsidR="0076286E" w:rsidRPr="0076286E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76286E"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76286E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</w:pP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39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16. В случае принятия решения, предусмотренного </w:t>
      </w:r>
      <w:r>
        <w:rPr>
          <w:rFonts w:ascii="Times New Roman" w:eastAsia="Times New Roman" w:hAnsi="Times New Roman" w:cs="Times New Roman"/>
          <w:color w:val="0000FF"/>
          <w:sz w:val="24"/>
        </w:rPr>
        <w:t>подпунктом "г" пункта 13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Порядка, руководитель Росимущества (руководитель территориального органа Росимущества, руководитель Организации) направляет Уве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домление для рассмотрения в Отдел противодействия коррупции, Уполномоченное подразделение (Уполномоченному должностному лицу) территориального органа Росимущества, указанным в </w:t>
      </w:r>
      <w:r>
        <w:rPr>
          <w:rFonts w:ascii="Times New Roman" w:eastAsia="Times New Roman" w:hAnsi="Times New Roman" w:cs="Times New Roman"/>
          <w:color w:val="0000FF"/>
          <w:sz w:val="24"/>
        </w:rPr>
        <w:t>пункте 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Порядка, для его рассмотрения и подготовки мотивированного 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аключения в соответствии с </w:t>
      </w:r>
      <w:r>
        <w:rPr>
          <w:rFonts w:ascii="Times New Roman" w:eastAsia="Times New Roman" w:hAnsi="Times New Roman" w:cs="Times New Roman"/>
          <w:color w:val="0000FF"/>
          <w:sz w:val="24"/>
        </w:rPr>
        <w:t>пунктом 17.5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</w:t>
      </w:r>
      <w:r>
        <w:rPr>
          <w:rFonts w:ascii="Times New Roman" w:eastAsia="Times New Roman" w:hAnsi="Times New Roman" w:cs="Times New Roman"/>
          <w:color w:val="000000"/>
          <w:sz w:val="24"/>
        </w:rPr>
        <w:t>N 821.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after="0" w:line="288" w:lineRule="auto"/>
        <w:ind w:firstLine="540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17. Руководитель Организации в течение 7 рабочих дней со дня принятия решения в соответствии с </w:t>
      </w:r>
      <w:r>
        <w:rPr>
          <w:rFonts w:ascii="Times New Roman" w:eastAsia="Times New Roman" w:hAnsi="Times New Roman" w:cs="Times New Roman"/>
          <w:color w:val="0000FF"/>
          <w:sz w:val="24"/>
        </w:rPr>
        <w:t>пунктом 14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Порядка представляет руководителю Росимущества доклад о принятом им решении по результатам рассмотрения Уведомления, представленного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Работником подведомственной организации, назначаемым на должность и освобождаемым от должности руководителем Организации.</w:t>
      </w:r>
    </w:p>
    <w:p w:rsidR="00F83F37" w:rsidRDefault="0076286E" w:rsidP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N 1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к Порядку уведомления федеральными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государственными гражданскими служащими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Федерального агентства по управлению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государственным имуществом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и его территориальных органов,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работниками, замещающими отдельные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должности на основании трудового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договора в организациях, созданных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для выполнения задач, поставленных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перед Федеральным агент</w:t>
      </w:r>
      <w:r>
        <w:rPr>
          <w:rFonts w:ascii="Times New Roman" w:eastAsia="Times New Roman" w:hAnsi="Times New Roman" w:cs="Times New Roman"/>
          <w:color w:val="000000"/>
          <w:sz w:val="24"/>
        </w:rPr>
        <w:t>ством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по управлению государственным имуществом,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о возникновении личной заинтересованности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 исполнении должностных (трудовых)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обязанностей, которая приводит или может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привести к конфликту интересов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Рекомендуемый образец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  <w:r>
        <w:rPr>
          <w:rFonts w:ascii="Courier New" w:eastAsia="Courier New" w:hAnsi="Courier New" w:cs="Courier New"/>
          <w:color w:val="000000"/>
          <w:sz w:val="24"/>
        </w:rPr>
        <w:t xml:space="preserve">                         __________________________________________________                           замещаемая должность представителя нанимателя                                          (работодателя)                         ____________________________</w:t>
      </w:r>
      <w:r>
        <w:rPr>
          <w:rFonts w:ascii="Courier New" w:eastAsia="Courier New" w:hAnsi="Courier New" w:cs="Courier New"/>
          <w:color w:val="000000"/>
          <w:sz w:val="24"/>
        </w:rPr>
        <w:t xml:space="preserve">______________________                         фамилия, имя, отчество (при наличии) представителя                         __________________________________________________                                     нанимателя (работодателя)                      </w:t>
      </w:r>
      <w:r>
        <w:rPr>
          <w:rFonts w:ascii="Courier New" w:eastAsia="Courier New" w:hAnsi="Courier New" w:cs="Courier New"/>
          <w:color w:val="000000"/>
          <w:sz w:val="24"/>
        </w:rPr>
        <w:t xml:space="preserve">   от _______________________________________________                             замещаемая должность, фамилия, имя, отчество                                            (при наличии)                         ________________________________________________</w:t>
      </w:r>
      <w:r>
        <w:rPr>
          <w:rFonts w:ascii="Courier New" w:eastAsia="Courier New" w:hAnsi="Courier New" w:cs="Courier New"/>
          <w:color w:val="000000"/>
          <w:sz w:val="24"/>
        </w:rPr>
        <w:t>__                                 гражданского служащего (работника)                         __________________________________________________                                        контактный телефон                                 Уведомление         о</w:t>
      </w:r>
      <w:r>
        <w:rPr>
          <w:rFonts w:ascii="Courier New" w:eastAsia="Courier New" w:hAnsi="Courier New" w:cs="Courier New"/>
          <w:color w:val="000000"/>
          <w:sz w:val="24"/>
        </w:rPr>
        <w:t xml:space="preserve"> возникновении личной заинтересованности при исполнении      должностных (трудовых) обязанностей, которая приводит или может                      привести к конфликту интересов     Сообщаю о возникновении у меня личной заинтересованности при исполнениидолж</w:t>
      </w:r>
      <w:r>
        <w:rPr>
          <w:rFonts w:ascii="Courier New" w:eastAsia="Courier New" w:hAnsi="Courier New" w:cs="Courier New"/>
          <w:color w:val="000000"/>
          <w:sz w:val="24"/>
        </w:rPr>
        <w:t>ностных  (трудовых) обязанностей, которая приводит или может привести кконфликту интересов (нужное подчеркнуть).    Обстоятельства,     являющиеся    основанием    возникновения    личнойзаинтересованности:__________________________________________________</w:t>
      </w:r>
      <w:r>
        <w:rPr>
          <w:rFonts w:ascii="Courier New" w:eastAsia="Courier New" w:hAnsi="Courier New" w:cs="Courier New"/>
          <w:color w:val="000000"/>
          <w:sz w:val="24"/>
        </w:rPr>
        <w:t>____________________________________________________________________________________________________    Должностные  (трудовые)  обязанности,  на исполнение которых влияет илиможет повлиять личная заинтересованность:________________________________________</w:t>
      </w:r>
      <w:r>
        <w:rPr>
          <w:rFonts w:ascii="Courier New" w:eastAsia="Courier New" w:hAnsi="Courier New" w:cs="Courier New"/>
          <w:color w:val="000000"/>
          <w:sz w:val="24"/>
        </w:rPr>
        <w:t xml:space="preserve">_________________________________________________________________________________________________________________________________________________________________________________________    </w:t>
      </w:r>
      <w:r>
        <w:rPr>
          <w:rFonts w:ascii="Courier New" w:eastAsia="Courier New" w:hAnsi="Courier New" w:cs="Courier New"/>
          <w:color w:val="000000"/>
          <w:sz w:val="24"/>
        </w:rPr>
        <w:lastRenderedPageBreak/>
        <w:t>Предлагаемые  (принятые)  меры  по  предотвращению  или  урегулиров</w:t>
      </w:r>
      <w:r>
        <w:rPr>
          <w:rFonts w:ascii="Courier New" w:eastAsia="Courier New" w:hAnsi="Courier New" w:cs="Courier New"/>
          <w:color w:val="000000"/>
          <w:sz w:val="24"/>
        </w:rPr>
        <w:t>аниюконфликта интересов:______________________________________________________________________________________________________________________________________________________    Намереваюсь (не намереваюсь) лично присутствовать на заседании комиссиипо собл</w:t>
      </w:r>
      <w:r>
        <w:rPr>
          <w:rFonts w:ascii="Courier New" w:eastAsia="Courier New" w:hAnsi="Courier New" w:cs="Courier New"/>
          <w:color w:val="000000"/>
          <w:sz w:val="24"/>
        </w:rPr>
        <w:t>юдению требований к служебному поведению федеральных государственныхслужащих   и   работников  организаций,  созданных  для  выполнения  задач,поставленных  перед  Федеральным  агентством  по управлению государственнымимуществом,   и   урегулированию   кон</w:t>
      </w:r>
      <w:r>
        <w:rPr>
          <w:rFonts w:ascii="Courier New" w:eastAsia="Courier New" w:hAnsi="Courier New" w:cs="Courier New"/>
          <w:color w:val="000000"/>
          <w:sz w:val="24"/>
        </w:rPr>
        <w:t>фликта   интересов  при  рассмотрениинастоящего уведомления (нужное подчеркнуть). _____________ 20__ г.   ____________   ____________________________________    (дата)               (подпись)     фамилия, имя, отчество (при наличии) Зарегистрировано в журн</w:t>
      </w:r>
      <w:r>
        <w:rPr>
          <w:rFonts w:ascii="Courier New" w:eastAsia="Courier New" w:hAnsi="Courier New" w:cs="Courier New"/>
          <w:color w:val="000000"/>
          <w:sz w:val="24"/>
        </w:rPr>
        <w:t>алеN ____ дата ______________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6286E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bookmarkStart w:id="0" w:name="_GoBack"/>
      <w:bookmarkEnd w:id="0"/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Приложение N 2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к Порядку уведомления федеральными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государственными гражданскими служащими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Федерального агентства по управлению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государственным имуществом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и его территориальных органов,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работниками, замещающими отдель</w:t>
      </w:r>
      <w:r>
        <w:rPr>
          <w:rFonts w:ascii="Times New Roman" w:eastAsia="Times New Roman" w:hAnsi="Times New Roman" w:cs="Times New Roman"/>
          <w:color w:val="000000"/>
          <w:sz w:val="24"/>
        </w:rPr>
        <w:t>ные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должности на основании трудового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договора в организациях, созданных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для выполнения задач, поставленных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перед Федеральным агентством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по управлению государственным имуществом,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о возникновении личной заинтересованности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 исполнении должностных (трудовых)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обязанностей, которая приводит или может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привести к конфликту интересов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</w:rPr>
        <w:t>Рекомендуемый образец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ЖУРНАЛ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регистрации уведомлений о возникновении личной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заинтересованности при исполнении должностных (трудовых)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обязанностей, которая приводит или может привести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к конфликту интересов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f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185"/>
        <w:gridCol w:w="3060"/>
      </w:tblGrid>
      <w:tr w:rsidR="00F83F37">
        <w:tc>
          <w:tcPr>
            <w:tcW w:w="4815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Начат</w:t>
            </w:r>
          </w:p>
        </w:tc>
        <w:tc>
          <w:tcPr>
            <w:tcW w:w="3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"__" _______ 20__ г.</w:t>
            </w:r>
          </w:p>
        </w:tc>
      </w:tr>
      <w:tr w:rsidR="00F83F37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3F37" w:rsidRDefault="00F83F37"/>
        </w:tc>
        <w:tc>
          <w:tcPr>
            <w:tcW w:w="1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Окончен</w:t>
            </w:r>
          </w:p>
        </w:tc>
        <w:tc>
          <w:tcPr>
            <w:tcW w:w="30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"__" _____ 20__ г.</w:t>
            </w:r>
          </w:p>
        </w:tc>
      </w:tr>
      <w:tr w:rsidR="00F83F37">
        <w:tc>
          <w:tcPr>
            <w:tcW w:w="0" w:type="auto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83F37" w:rsidRDefault="00F83F37"/>
        </w:tc>
        <w:tc>
          <w:tcPr>
            <w:tcW w:w="424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На ___ листах</w:t>
            </w:r>
          </w:p>
        </w:tc>
      </w:tr>
    </w:tbl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tbl>
      <w:tblPr>
        <w:tblStyle w:val="af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377"/>
        <w:gridCol w:w="1463"/>
        <w:gridCol w:w="1066"/>
        <w:gridCol w:w="1297"/>
        <w:gridCol w:w="884"/>
        <w:gridCol w:w="1755"/>
        <w:gridCol w:w="1459"/>
        <w:gridCol w:w="1038"/>
      </w:tblGrid>
      <w:tr w:rsidR="00F83F37">
        <w:tc>
          <w:tcPr>
            <w:tcW w:w="4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N п/п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Регистрационный номер уведомления</w:t>
            </w:r>
          </w:p>
        </w:tc>
        <w:tc>
          <w:tcPr>
            <w:tcW w:w="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Дата регистрации уведомления</w:t>
            </w:r>
          </w:p>
        </w:tc>
        <w:tc>
          <w:tcPr>
            <w:tcW w:w="22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Сведения о гражданском служащем (работнике подведомственной организации), представившем уведомление</w:t>
            </w:r>
          </w:p>
        </w:tc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Фамилия, имя, отчество (при наличии) должность лица, зарегистрировавшего уведомление</w:t>
            </w:r>
          </w:p>
        </w:tc>
        <w:tc>
          <w:tcPr>
            <w:tcW w:w="16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Отметка о получении копии уведомления (копию получил, подпись) либо о 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аправлении копии уведомления по почте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Сведения о принятом решении</w:t>
            </w:r>
          </w:p>
        </w:tc>
      </w:tr>
      <w:tr w:rsidR="00F83F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37" w:rsidRDefault="00F83F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37" w:rsidRDefault="00F83F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37" w:rsidRDefault="00F83F37"/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Фамилия, имя, отчество (при наличии)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должность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37" w:rsidRDefault="00F83F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37" w:rsidRDefault="00F83F37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3F37" w:rsidRDefault="00F83F37"/>
        </w:tc>
      </w:tr>
      <w:tr w:rsidR="00F83F37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2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3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4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5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6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7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8</w:t>
            </w:r>
          </w:p>
        </w:tc>
      </w:tr>
      <w:tr w:rsidR="00F83F37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</w:tr>
      <w:tr w:rsidR="00F83F37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</w:tr>
      <w:tr w:rsidR="00F83F37">
        <w:tc>
          <w:tcPr>
            <w:tcW w:w="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83F37" w:rsidRDefault="0076286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</w:rPr>
              <w:t> </w:t>
            </w:r>
          </w:p>
        </w:tc>
      </w:tr>
    </w:tbl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7628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F83F37" w:rsidRDefault="00F83F37"/>
    <w:sectPr w:rsidR="00F83F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F37" w:rsidRDefault="0076286E">
      <w:pPr>
        <w:spacing w:after="0" w:line="240" w:lineRule="auto"/>
      </w:pPr>
      <w:r>
        <w:separator/>
      </w:r>
    </w:p>
  </w:endnote>
  <w:endnote w:type="continuationSeparator" w:id="0">
    <w:p w:rsidR="00F83F37" w:rsidRDefault="0076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F37" w:rsidRDefault="0076286E">
      <w:pPr>
        <w:spacing w:after="0" w:line="240" w:lineRule="auto"/>
      </w:pPr>
      <w:r>
        <w:separator/>
      </w:r>
    </w:p>
  </w:footnote>
  <w:footnote w:type="continuationSeparator" w:id="0">
    <w:p w:rsidR="00F83F37" w:rsidRDefault="007628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37"/>
    <w:rsid w:val="0076286E"/>
    <w:rsid w:val="00F8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99D1C-3715-4B7A-8A50-44D5088D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2943</Words>
  <Characters>16780</Characters>
  <Application>Microsoft Office Word</Application>
  <DocSecurity>0</DocSecurity>
  <Lines>139</Lines>
  <Paragraphs>39</Paragraphs>
  <ScaleCrop>false</ScaleCrop>
  <Company/>
  <LinksUpToDate>false</LinksUpToDate>
  <CharactersWithSpaces>19684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Бритков Иван Юрьевич</dc:creator>
  <cp:keywords/>
  <dc:description/>
  <cp:lastModifiedBy>Бритков Иван Юрьевич</cp:lastModifiedBy>
  <cp:revision>4</cp:revision>
  <dcterms:created xsi:type="dcterms:W3CDTF">2025-02-05T11:09:00Z</dcterms:created>
  <dcterms:modified xsi:type="dcterms:W3CDTF">2025-09-03T11:48:00Z</dcterms:modified>
</cp:coreProperties>
</file>