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highlight w:val="none"/>
          <w:shd w:fill="FFFFFF" w:val="clear"/>
        </w:rPr>
      </w:pPr>
      <w:r>
        <w:rPr>
          <w:b/>
          <w:shd w:fill="FFFFFF" w:val="clear"/>
        </w:rPr>
        <w:t>Территориальное управление Федерального агентства по управлению государственным имуществом в Пермском крае</w:t>
      </w:r>
    </w:p>
    <w:p>
      <w:pPr>
        <w:pStyle w:val="Normal"/>
        <w:rPr>
          <w:b/>
          <w:highlight w:val="none"/>
          <w:shd w:fill="FFFFFF" w:val="clear"/>
        </w:rPr>
      </w:pPr>
      <w:r>
        <w:rPr>
          <w:b/>
          <w:shd w:fill="FFFFFF" w:val="clear"/>
        </w:rPr>
      </w:r>
    </w:p>
    <w:p>
      <w:pPr>
        <w:pStyle w:val="Normal"/>
        <w:widowControl w:val="false"/>
        <w:jc w:val="center"/>
        <w:rPr>
          <w:b/>
          <w:highlight w:val="none"/>
          <w:shd w:fill="FFFFFF" w:val="clear"/>
        </w:rPr>
      </w:pPr>
      <w:r>
        <w:rPr>
          <w:b/>
          <w:shd w:fill="FFFFFF" w:val="clear"/>
        </w:rPr>
      </w:r>
    </w:p>
    <w:p>
      <w:pPr>
        <w:pStyle w:val="Normal"/>
        <w:widowControl w:val="false"/>
        <w:jc w:val="center"/>
        <w:rPr>
          <w:highlight w:val="none"/>
          <w:shd w:fill="FFFFFF" w:val="clear"/>
        </w:rPr>
      </w:pPr>
      <w:r>
        <w:rPr>
          <w:b/>
          <w:sz w:val="32"/>
          <w:shd w:fill="FFFFFF" w:val="clear"/>
        </w:rPr>
        <w:t>ИНФОРМАЦИОННОЕ СООБЩЕНИЕ</w:t>
      </w:r>
    </w:p>
    <w:p>
      <w:pPr>
        <w:pStyle w:val="Normal"/>
        <w:widowControl w:val="false"/>
        <w:jc w:val="center"/>
        <w:rPr>
          <w:sz w:val="24"/>
          <w:szCs w:val="24"/>
          <w:highlight w:val="none"/>
          <w:shd w:fill="FFFFFF" w:val="clear"/>
        </w:rPr>
      </w:pPr>
      <w:r>
        <w:rPr>
          <w:b/>
          <w:sz w:val="24"/>
          <w:szCs w:val="24"/>
          <w:shd w:fill="FFFFFF" w:val="clear"/>
        </w:rPr>
        <w:t>о проведении аукциона по продаже</w:t>
      </w:r>
      <w:r>
        <w:rPr>
          <w:b/>
          <w:sz w:val="24"/>
          <w:szCs w:val="24"/>
          <w:u w:val="none"/>
          <w:shd w:fill="FFFFFF" w:val="clear"/>
        </w:rPr>
        <w:t xml:space="preserve"> </w:t>
      </w:r>
      <w:r>
        <w:rPr>
          <w:b/>
          <w:color w:val="000000"/>
          <w:sz w:val="24"/>
          <w:szCs w:val="24"/>
          <w:u w:val="none"/>
          <w:shd w:fill="FFFFFF" w:val="clear"/>
        </w:rPr>
        <w:t xml:space="preserve">земельного участка площадью 10 766 кв.м с кадастровым номером 59:07:0010110:1, с расположенными на нем объектами недвижимого имущества, по адресу: Пермский край, м.о. Краснокамский, </w:t>
      </w:r>
    </w:p>
    <w:p>
      <w:pPr>
        <w:pStyle w:val="Normal"/>
        <w:widowControl w:val="false"/>
        <w:jc w:val="center"/>
        <w:rPr>
          <w:sz w:val="24"/>
          <w:szCs w:val="24"/>
          <w:highlight w:val="none"/>
          <w:shd w:fill="FFFFFF" w:val="clear"/>
        </w:rPr>
      </w:pPr>
      <w:r>
        <w:rPr>
          <w:b/>
          <w:color w:val="000000"/>
          <w:sz w:val="24"/>
          <w:szCs w:val="24"/>
          <w:u w:val="none"/>
          <w:shd w:fill="FFFFFF" w:val="clear"/>
        </w:rPr>
        <w:t>г. Краснокамск, берег р. Кама, ацетиленовая станция у д. Конец Бор</w:t>
      </w:r>
      <w:r>
        <w:rPr>
          <w:b/>
          <w:sz w:val="24"/>
          <w:szCs w:val="24"/>
          <w:shd w:fill="FFFFFF" w:val="clear"/>
        </w:rPr>
        <w:t xml:space="preserve">, </w:t>
      </w:r>
    </w:p>
    <w:p>
      <w:pPr>
        <w:pStyle w:val="Normal"/>
        <w:widowControl w:val="false"/>
        <w:jc w:val="center"/>
        <w:rPr>
          <w:sz w:val="24"/>
          <w:szCs w:val="24"/>
          <w:highlight w:val="none"/>
          <w:shd w:fill="FFFFFF" w:val="clear"/>
        </w:rPr>
      </w:pPr>
      <w:r>
        <w:rPr>
          <w:b/>
          <w:sz w:val="24"/>
          <w:szCs w:val="24"/>
          <w:shd w:fill="FFFFFF" w:val="clear"/>
        </w:rPr>
        <w:t>в электронной форме</w:t>
      </w:r>
    </w:p>
    <w:p>
      <w:pPr>
        <w:pStyle w:val="Normal"/>
        <w:widowControl w:val="false"/>
        <w:tabs>
          <w:tab w:val="clear" w:pos="720"/>
          <w:tab w:val="left" w:pos="851" w:leader="none"/>
        </w:tabs>
        <w:jc w:val="center"/>
        <w:rPr>
          <w:highlight w:val="none"/>
          <w:shd w:fill="FFFFFF" w:val="clear"/>
        </w:rPr>
      </w:pPr>
      <w:r>
        <w:rPr>
          <w:b/>
          <w:sz w:val="28"/>
          <w:shd w:fill="FFFFFF" w:val="clear"/>
        </w:rPr>
        <w:t>_______________________________________</w:t>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tbl>
      <w:tblPr>
        <w:tblStyle w:val="Style_2"/>
        <w:tblW w:w="6944" w:type="dxa"/>
        <w:jc w:val="left"/>
        <w:tblInd w:w="0" w:type="dxa"/>
        <w:tblLayout w:type="fixed"/>
        <w:tblCellMar>
          <w:top w:w="0" w:type="dxa"/>
          <w:left w:w="108" w:type="dxa"/>
          <w:bottom w:w="0" w:type="dxa"/>
          <w:right w:w="108" w:type="dxa"/>
        </w:tblCellMar>
      </w:tblPr>
      <w:tblGrid>
        <w:gridCol w:w="4778"/>
        <w:gridCol w:w="2165"/>
      </w:tblGrid>
      <w:tr>
        <w:trPr/>
        <w:tc>
          <w:tcPr>
            <w:tcW w:w="4778" w:type="dxa"/>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начала приема заявок:</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165" w:type="dxa"/>
            <w:tcBorders/>
          </w:tcPr>
          <w:p>
            <w:pPr>
              <w:pStyle w:val="BodyText"/>
              <w:widowControl/>
              <w:spacing w:lineRule="auto" w:line="264" w:before="0" w:after="0"/>
              <w:ind w:hanging="0" w:left="0" w:right="-74"/>
              <w:rPr>
                <w:kern w:val="0"/>
                <w:szCs w:val="20"/>
                <w:highlight w:val="none"/>
                <w:shd w:fill="FFFFFF" w:val="clear"/>
              </w:rPr>
            </w:pPr>
            <w:r>
              <w:rPr>
                <w:color w:val="000000"/>
                <w:spacing w:val="0"/>
                <w:kern w:val="0"/>
                <w:szCs w:val="20"/>
                <w:shd w:fill="FFFFFF" w:val="clear"/>
              </w:rPr>
              <w:t>16 июня 2026 г.</w:t>
            </w:r>
          </w:p>
        </w:tc>
      </w:tr>
      <w:tr>
        <w:trPr/>
        <w:tc>
          <w:tcPr>
            <w:tcW w:w="4778" w:type="dxa"/>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окончания приема заявок:</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165" w:type="dxa"/>
            <w:tcBorders/>
          </w:tcPr>
          <w:p>
            <w:pPr>
              <w:pStyle w:val="BodyText"/>
              <w:widowControl/>
              <w:spacing w:lineRule="auto" w:line="264" w:before="0" w:after="0"/>
              <w:ind w:hanging="0" w:left="0" w:right="-74"/>
              <w:rPr>
                <w:kern w:val="0"/>
                <w:szCs w:val="20"/>
                <w:highlight w:val="none"/>
                <w:shd w:fill="FFFFFF" w:val="clear"/>
              </w:rPr>
            </w:pPr>
            <w:r>
              <w:rPr>
                <w:color w:val="000000"/>
                <w:spacing w:val="0"/>
                <w:kern w:val="0"/>
                <w:szCs w:val="20"/>
                <w:shd w:fill="FFFFFF" w:val="clear"/>
              </w:rPr>
              <w:t>12 июля 2026 г.</w:t>
            </w:r>
          </w:p>
        </w:tc>
      </w:tr>
      <w:tr>
        <w:trPr/>
        <w:tc>
          <w:tcPr>
            <w:tcW w:w="4778" w:type="dxa"/>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определения участников:</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165" w:type="dxa"/>
            <w:tcBorders/>
          </w:tcPr>
          <w:p>
            <w:pPr>
              <w:pStyle w:val="BodyText"/>
              <w:widowControl/>
              <w:spacing w:lineRule="auto" w:line="264" w:before="0" w:after="0"/>
              <w:ind w:hanging="0" w:left="0" w:right="-74"/>
              <w:rPr>
                <w:kern w:val="0"/>
                <w:szCs w:val="20"/>
                <w:highlight w:val="none"/>
                <w:shd w:fill="FFFFFF" w:val="clear"/>
              </w:rPr>
            </w:pPr>
            <w:r>
              <w:rPr>
                <w:color w:val="000000"/>
                <w:spacing w:val="0"/>
                <w:kern w:val="0"/>
                <w:szCs w:val="20"/>
                <w:shd w:fill="FFFFFF" w:val="clear"/>
              </w:rPr>
              <w:t>16 июля 2026 г.</w:t>
            </w:r>
          </w:p>
        </w:tc>
      </w:tr>
      <w:tr>
        <w:trPr/>
        <w:tc>
          <w:tcPr>
            <w:tcW w:w="4778" w:type="dxa"/>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аукциона:</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165" w:type="dxa"/>
            <w:tcBorders/>
          </w:tcPr>
          <w:p>
            <w:pPr>
              <w:pStyle w:val="BodyText"/>
              <w:widowControl/>
              <w:spacing w:lineRule="auto" w:line="264" w:before="0" w:after="0"/>
              <w:ind w:hanging="0" w:left="0" w:right="-74"/>
              <w:rPr>
                <w:kern w:val="0"/>
                <w:szCs w:val="20"/>
                <w:highlight w:val="none"/>
                <w:shd w:fill="FFFFFF" w:val="clear"/>
              </w:rPr>
            </w:pPr>
            <w:r>
              <w:rPr>
                <w:color w:val="000000"/>
                <w:spacing w:val="0"/>
                <w:kern w:val="0"/>
                <w:szCs w:val="20"/>
                <w:shd w:fill="FFFFFF" w:val="clear"/>
              </w:rPr>
              <w:t>17 июля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highlight w:val="none"/>
          <w:shd w:fill="FFFFFF" w:val="clear"/>
        </w:rPr>
      </w:pPr>
      <w:r>
        <w:rPr>
          <w:rFonts w:ascii="TimesNewRoman,Bold" w:hAnsi="TimesNewRoman,Bold"/>
          <w:b/>
          <w:sz w:val="28"/>
          <w:shd w:fill="FFFFFF" w:val="clear"/>
        </w:rPr>
        <w:t>СОДЕРЖАНИЕ</w:t>
      </w:r>
    </w:p>
    <w:p>
      <w:pPr>
        <w:pStyle w:val="Normal"/>
        <w:rPr>
          <w:highlight w:val="none"/>
          <w:shd w:fill="FFFFFF" w:val="clear"/>
        </w:rPr>
      </w:pPr>
      <w:r>
        <w:rPr>
          <w:rFonts w:ascii="TimesNewRoman" w:hAnsi="TimesNewRoman"/>
          <w:shd w:fill="FFFFFF" w:val="clear"/>
        </w:rPr>
        <w:t xml:space="preserve">1. Основные понятия </w:t>
      </w:r>
    </w:p>
    <w:p>
      <w:pPr>
        <w:pStyle w:val="Normal"/>
        <w:rPr>
          <w:highlight w:val="none"/>
          <w:shd w:fill="FFFFFF" w:val="clear"/>
        </w:rPr>
      </w:pPr>
      <w:r>
        <w:rPr>
          <w:rFonts w:ascii="TimesNewRoman" w:hAnsi="TimesNewRoman"/>
          <w:shd w:fill="FFFFFF" w:val="clear"/>
        </w:rPr>
        <w:t xml:space="preserve">2. Правовое регулирование </w:t>
      </w:r>
    </w:p>
    <w:p>
      <w:pPr>
        <w:pStyle w:val="Normal"/>
        <w:rPr>
          <w:highlight w:val="none"/>
          <w:shd w:fill="FFFFFF" w:val="clear"/>
        </w:rPr>
      </w:pPr>
      <w:r>
        <w:rPr>
          <w:rFonts w:ascii="TimesNewRoman" w:hAnsi="TimesNewRoman"/>
          <w:shd w:fill="FFFFFF" w:val="clear"/>
        </w:rPr>
        <w:t xml:space="preserve">3. Сведения об аукционе </w:t>
      </w:r>
    </w:p>
    <w:p>
      <w:pPr>
        <w:pStyle w:val="Normal"/>
        <w:rPr>
          <w:highlight w:val="none"/>
          <w:shd w:fill="FFFFFF" w:val="clear"/>
        </w:rPr>
      </w:pPr>
      <w:r>
        <w:rPr>
          <w:rFonts w:ascii="TimesNewRoman" w:hAnsi="TimesNewRoman"/>
          <w:shd w:fill="FFFFFF" w:val="clear"/>
        </w:rPr>
        <w:t xml:space="preserve">4. Место, сроки подачи (приема) заявок, определения участников и подведения итогов аукциона </w:t>
      </w:r>
    </w:p>
    <w:p>
      <w:pPr>
        <w:pStyle w:val="Normal"/>
        <w:rPr>
          <w:highlight w:val="none"/>
          <w:shd w:fill="FFFFFF" w:val="clear"/>
        </w:rPr>
      </w:pPr>
      <w:r>
        <w:rPr>
          <w:rFonts w:ascii="TimesNewRoman" w:hAnsi="TimesNewRoman"/>
          <w:shd w:fill="FFFFFF" w:val="clear"/>
        </w:rPr>
        <w:t xml:space="preserve">5. Сроки и порядок регистрации на электронной площадке </w:t>
      </w:r>
    </w:p>
    <w:p>
      <w:pPr>
        <w:pStyle w:val="Normal"/>
        <w:rPr>
          <w:highlight w:val="none"/>
          <w:shd w:fill="FFFFFF" w:val="clear"/>
        </w:rPr>
      </w:pPr>
      <w:r>
        <w:rPr>
          <w:rFonts w:ascii="TimesNewRoman" w:hAnsi="TimesNewRoman"/>
          <w:shd w:fill="FFFFFF" w:val="clear"/>
        </w:rPr>
        <w:t xml:space="preserve">6. Порядок подачи (приема) и отзыва заявок </w:t>
      </w:r>
    </w:p>
    <w:p>
      <w:pPr>
        <w:pStyle w:val="Normal"/>
        <w:rPr>
          <w:highlight w:val="none"/>
          <w:shd w:fill="FFFFFF" w:val="clear"/>
        </w:rPr>
      </w:pPr>
      <w:r>
        <w:rPr>
          <w:rFonts w:ascii="TimesNewRoman" w:hAnsi="TimesNewRoman"/>
          <w:shd w:fill="FFFFFF" w:val="clear"/>
        </w:rPr>
        <w:t xml:space="preserve">7. Перечень документов, представляемых участниками торгов и требования к их оформлению </w:t>
      </w:r>
    </w:p>
    <w:p>
      <w:pPr>
        <w:pStyle w:val="Normal"/>
        <w:rPr>
          <w:highlight w:val="none"/>
          <w:shd w:fill="FFFFFF" w:val="clear"/>
        </w:rPr>
      </w:pPr>
      <w:r>
        <w:rPr>
          <w:rFonts w:ascii="TimesNewRoman" w:hAnsi="TimesNewRoman"/>
          <w:shd w:fill="FFFFFF" w:val="clear"/>
        </w:rPr>
        <w:t xml:space="preserve">8. Ограничения участия в аукционе отдельных категорий физических и юридических лиц </w:t>
      </w:r>
    </w:p>
    <w:p>
      <w:pPr>
        <w:pStyle w:val="Normal"/>
        <w:rPr>
          <w:highlight w:val="none"/>
          <w:shd w:fill="FFFFFF" w:val="clear"/>
        </w:rPr>
      </w:pPr>
      <w:r>
        <w:rPr>
          <w:rFonts w:ascii="TimesNewRoman" w:hAnsi="TimesNewRoman"/>
          <w:shd w:fill="FFFFFF" w:val="clear"/>
        </w:rPr>
        <w:t xml:space="preserve">9. Порядок внесения задатка и его возврата </w:t>
      </w:r>
    </w:p>
    <w:p>
      <w:pPr>
        <w:pStyle w:val="Normal"/>
        <w:rPr>
          <w:highlight w:val="none"/>
          <w:shd w:fill="FFFFFF" w:val="clear"/>
        </w:rPr>
      </w:pPr>
      <w:r>
        <w:rPr>
          <w:rFonts w:ascii="TimesNewRoman" w:hAnsi="TimesNewRoman"/>
          <w:shd w:fill="FFFFFF" w:val="clear"/>
        </w:rPr>
        <w:t>10. Порядок ознакомления со сведениями об Имуществе, выставляемом на аукционе</w:t>
      </w:r>
    </w:p>
    <w:p>
      <w:pPr>
        <w:pStyle w:val="Normal"/>
        <w:rPr>
          <w:highlight w:val="none"/>
          <w:shd w:fill="FFFFFF" w:val="clear"/>
        </w:rPr>
      </w:pPr>
      <w:r>
        <w:rPr>
          <w:rFonts w:ascii="TimesNewRoman" w:hAnsi="TimesNewRoman"/>
          <w:shd w:fill="FFFFFF" w:val="clear"/>
        </w:rPr>
        <w:t>11. Порядок определения участников аукциона</w:t>
      </w:r>
    </w:p>
    <w:p>
      <w:pPr>
        <w:pStyle w:val="Normal"/>
        <w:rPr>
          <w:highlight w:val="none"/>
          <w:shd w:fill="FFFFFF" w:val="clear"/>
        </w:rPr>
      </w:pPr>
      <w:r>
        <w:rPr>
          <w:rFonts w:ascii="TimesNewRoman" w:hAnsi="TimesNewRoman"/>
          <w:shd w:fill="FFFFFF" w:val="clear"/>
        </w:rPr>
        <w:t xml:space="preserve">12. Порядок проведения аукциона и определения победителя </w:t>
      </w:r>
    </w:p>
    <w:p>
      <w:pPr>
        <w:pStyle w:val="Normal"/>
        <w:rPr>
          <w:highlight w:val="none"/>
          <w:shd w:fill="FFFFFF" w:val="clear"/>
        </w:rPr>
      </w:pPr>
      <w:r>
        <w:rPr>
          <w:rFonts w:ascii="TimesNewRoman" w:hAnsi="TimesNewRoman"/>
          <w:shd w:fill="FFFFFF" w:val="clear"/>
        </w:rPr>
        <w:t xml:space="preserve">13. Срок заключения договора купли-продажи недвижимого имущества </w:t>
      </w:r>
    </w:p>
    <w:p>
      <w:pPr>
        <w:pStyle w:val="Normal"/>
        <w:rPr>
          <w:highlight w:val="none"/>
          <w:shd w:fill="FFFFFF" w:val="clear"/>
        </w:rPr>
      </w:pPr>
      <w:r>
        <w:rPr>
          <w:rFonts w:ascii="TimesNewRoman" w:hAnsi="TimesNewRoman"/>
          <w:shd w:fill="FFFFFF" w:val="clear"/>
        </w:rPr>
        <w:t>14. Переход права собственности на федеральное имущество</w:t>
      </w:r>
    </w:p>
    <w:p>
      <w:pPr>
        <w:pStyle w:val="Normal"/>
        <w:rPr>
          <w:highlight w:val="none"/>
          <w:shd w:fill="FFFFFF" w:val="clear"/>
        </w:rPr>
      </w:pPr>
      <w:r>
        <w:rPr>
          <w:rFonts w:ascii="TimesNewRoman" w:hAnsi="TimesNewRoman"/>
          <w:shd w:fill="FFFFFF" w:val="clear"/>
        </w:rPr>
        <w:t>15. Заключительные положения</w:t>
      </w:r>
    </w:p>
    <w:p>
      <w:pPr>
        <w:pStyle w:val="Normal"/>
        <w:rPr>
          <w:highlight w:val="none"/>
          <w:shd w:fill="FFFFFF" w:val="clear"/>
        </w:rPr>
      </w:pPr>
      <w:r>
        <w:rPr>
          <w:rFonts w:ascii="TimesNewRoman" w:hAnsi="TimesNewRoman"/>
          <w:shd w:fill="FFFFFF" w:val="clear"/>
        </w:rPr>
        <w:t xml:space="preserve">Приложение 1 (заявка) </w:t>
        <w:br/>
        <w:t xml:space="preserve">Приложение 2 (договор купли-продажи) </w:t>
      </w:r>
    </w:p>
    <w:p>
      <w:pPr>
        <w:pStyle w:val="Normal"/>
        <w:rPr>
          <w:rFonts w:ascii="TimesNewRoman" w:hAnsi="TimesNewRoman"/>
          <w:highlight w:val="none"/>
          <w:shd w:fill="FFFFFF" w:val="clear"/>
        </w:rPr>
      </w:pPr>
      <w:r>
        <w:rPr>
          <w:rFonts w:ascii="TimesNewRoman" w:hAnsi="TimesNewRoman"/>
          <w:shd w:fill="FFFFFF" w:val="clear"/>
        </w:rPr>
      </w:r>
    </w:p>
    <w:p>
      <w:pPr>
        <w:pStyle w:val="BodyText"/>
        <w:widowControl w:val="false"/>
        <w:spacing w:lineRule="auto" w:line="264"/>
        <w:ind w:firstLine="720" w:left="0" w:right="57"/>
        <w:rPr>
          <w:sz w:val="28"/>
          <w:highlight w:val="none"/>
          <w:shd w:fill="FFFFFF" w:val="clear"/>
        </w:rPr>
      </w:pPr>
      <w:r>
        <w:rPr>
          <w:sz w:val="28"/>
          <w:shd w:fill="FFFFFF" w:val="clear"/>
        </w:rPr>
      </w:r>
      <w:r>
        <w:br w:type="page"/>
      </w:r>
    </w:p>
    <w:p>
      <w:pPr>
        <w:pStyle w:val="BodyText"/>
        <w:widowControl w:val="false"/>
        <w:numPr>
          <w:ilvl w:val="0"/>
          <w:numId w:val="1"/>
        </w:numPr>
        <w:spacing w:lineRule="auto" w:line="264" w:before="0" w:after="0"/>
        <w:ind w:hanging="360" w:left="1080" w:right="57"/>
        <w:jc w:val="center"/>
        <w:rPr>
          <w:highlight w:val="none"/>
          <w:shd w:fill="FFFFFF" w:val="clear"/>
        </w:rPr>
      </w:pPr>
      <w:r>
        <w:rPr>
          <w:b/>
          <w:shd w:fill="FFFFFF" w:val="clear"/>
        </w:rPr>
        <w:t>Основные понятия</w:t>
      </w:r>
    </w:p>
    <w:p>
      <w:pPr>
        <w:pStyle w:val="BodyText"/>
        <w:widowControl w:val="false"/>
        <w:ind w:firstLine="709" w:left="0" w:right="57"/>
        <w:rPr>
          <w:highlight w:val="none"/>
          <w:shd w:fill="FFFFFF" w:val="clear"/>
        </w:rPr>
      </w:pPr>
      <w:r>
        <w:rPr>
          <w:b/>
          <w:shd w:fill="FFFFFF" w:val="clear"/>
        </w:rPr>
        <w:t>Имущество (лоты) аукциона (объекты)</w:t>
      </w:r>
      <w:r>
        <w:rPr>
          <w:shd w:fill="FFFFFF" w:val="clea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highlight w:val="none"/>
          <w:shd w:fill="FFFFFF" w:val="clear"/>
        </w:rPr>
      </w:pPr>
      <w:r>
        <w:rPr>
          <w:b/>
          <w:shd w:fill="FFFFFF" w:val="clear"/>
        </w:rPr>
        <w:t xml:space="preserve">Лот </w:t>
      </w:r>
      <w:r>
        <w:rPr>
          <w:shd w:fill="FFFFFF" w:val="clear"/>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highlight w:val="none"/>
          <w:shd w:fill="FFFFFF" w:val="clear"/>
        </w:rPr>
      </w:pPr>
      <w:r>
        <w:rPr>
          <w:b/>
          <w:shd w:fill="FFFFFF" w:val="clear"/>
        </w:rPr>
        <w:t>Предмет аукциона</w:t>
      </w:r>
      <w:r>
        <w:rPr>
          <w:shd w:fill="FFFFFF" w:val="clear"/>
        </w:rPr>
        <w:t xml:space="preserve"> – продажа Имущества (лота) аукциона.</w:t>
      </w:r>
    </w:p>
    <w:p>
      <w:pPr>
        <w:pStyle w:val="BodyText"/>
        <w:widowControl w:val="false"/>
        <w:ind w:firstLine="709" w:left="0" w:right="57"/>
        <w:rPr>
          <w:highlight w:val="none"/>
          <w:shd w:fill="FFFFFF" w:val="clear"/>
        </w:rPr>
      </w:pPr>
      <w:r>
        <w:rPr>
          <w:b/>
          <w:shd w:fill="FFFFFF" w:val="clear"/>
        </w:rPr>
        <w:t>Цена предмета аукциона</w:t>
      </w:r>
      <w:r>
        <w:rPr>
          <w:shd w:fill="FFFFFF" w:val="clear"/>
        </w:rPr>
        <w:t xml:space="preserve"> – цена продажи Имущества (лота) аукциона.</w:t>
      </w:r>
    </w:p>
    <w:p>
      <w:pPr>
        <w:pStyle w:val="BodyText"/>
        <w:widowControl w:val="false"/>
        <w:ind w:firstLine="709" w:left="0" w:right="57"/>
        <w:rPr>
          <w:highlight w:val="none"/>
          <w:shd w:fill="FFFFFF" w:val="clear"/>
        </w:rPr>
      </w:pPr>
      <w:r>
        <w:rPr>
          <w:b/>
          <w:shd w:fill="FFFFFF" w:val="clear"/>
        </w:rPr>
        <w:t>Шаг аукциона</w:t>
      </w:r>
      <w:r>
        <w:rPr>
          <w:shd w:fill="FFFFFF" w:val="clear"/>
        </w:rPr>
        <w:t xml:space="preserve"> – величина повышения начальной цены продажи Имущества.</w:t>
      </w:r>
    </w:p>
    <w:p>
      <w:pPr>
        <w:pStyle w:val="Normal"/>
        <w:widowControl w:val="false"/>
        <w:ind w:firstLine="709" w:left="0" w:right="57"/>
        <w:jc w:val="both"/>
        <w:rPr>
          <w:highlight w:val="none"/>
          <w:shd w:fill="FFFFFF" w:val="clear"/>
        </w:rPr>
      </w:pPr>
      <w:r>
        <w:rPr>
          <w:b/>
          <w:shd w:fill="FFFFFF" w:val="clear"/>
        </w:rPr>
        <w:t>Информационное сообщение о проведении аукциона</w:t>
      </w:r>
      <w:r>
        <w:rPr>
          <w:shd w:fill="FFFFFF" w:val="clear"/>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highlight w:val="none"/>
          <w:shd w:fill="FFFFFF" w:val="clear"/>
        </w:rPr>
      </w:pPr>
      <w:r>
        <w:rPr>
          <w:b/>
          <w:shd w:fill="FFFFFF" w:val="clear"/>
        </w:rPr>
        <w:t>Продавец</w:t>
      </w:r>
      <w:r>
        <w:rPr>
          <w:shd w:fill="FFFFFF" w:val="clear"/>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highlight w:val="none"/>
          <w:shd w:fill="FFFFFF" w:val="clear"/>
        </w:rPr>
      </w:pPr>
      <w:r>
        <w:rPr>
          <w:b/>
          <w:shd w:fill="FFFFFF" w:val="clear"/>
        </w:rPr>
        <w:t>Организатор</w:t>
      </w:r>
      <w:r>
        <w:rPr>
          <w:shd w:fill="FFFFFF" w:val="clear"/>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highlight w:val="none"/>
          <w:shd w:fill="FFFFFF" w:val="clear"/>
        </w:rPr>
      </w:pPr>
      <w:r>
        <w:rPr>
          <w:b/>
          <w:shd w:fill="FFFFFF" w:val="clear"/>
        </w:rPr>
        <w:t xml:space="preserve">Заявка </w:t>
      </w:r>
      <w:r>
        <w:rPr>
          <w:shd w:fill="FFFFFF" w:val="clear"/>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highlight w:val="none"/>
          <w:shd w:fill="FFFFFF" w:val="clear"/>
        </w:rPr>
      </w:pPr>
      <w:r>
        <w:rPr>
          <w:b/>
          <w:shd w:fill="FFFFFF" w:val="clear"/>
        </w:rPr>
        <w:t>Аукционная комиссия</w:t>
      </w:r>
      <w:r>
        <w:rPr>
          <w:shd w:fill="FFFFFF" w:val="clear"/>
        </w:rPr>
        <w:t xml:space="preserve"> – комиссия по проведению аукциона, формируемая Уполномоченным органом.</w:t>
      </w:r>
    </w:p>
    <w:p>
      <w:pPr>
        <w:pStyle w:val="NormalWeb11"/>
        <w:widowControl w:val="false"/>
        <w:spacing w:before="0" w:after="0"/>
        <w:ind w:firstLine="709" w:left="0" w:right="0"/>
        <w:jc w:val="both"/>
        <w:rPr>
          <w:highlight w:val="none"/>
          <w:shd w:fill="FFFFFF" w:val="clear"/>
        </w:rPr>
      </w:pPr>
      <w:r>
        <w:rPr>
          <w:b/>
          <w:shd w:fill="FFFFFF" w:val="clear"/>
        </w:rPr>
        <w:t xml:space="preserve">Претендент </w:t>
      </w:r>
      <w:r>
        <w:rPr>
          <w:shd w:fill="FFFFFF" w:val="clea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
        <w:widowControl w:val="false"/>
        <w:spacing w:before="0" w:after="0"/>
        <w:ind w:firstLine="709" w:left="0" w:right="0"/>
        <w:jc w:val="both"/>
        <w:rPr>
          <w:highlight w:val="none"/>
          <w:shd w:fill="FFFFFF" w:val="clear"/>
        </w:rPr>
      </w:pPr>
      <w:r>
        <w:rPr>
          <w:b/>
          <w:shd w:fill="FFFFFF" w:val="clear"/>
        </w:rPr>
        <w:t xml:space="preserve">Участник </w:t>
      </w:r>
      <w:r>
        <w:rPr>
          <w:shd w:fill="FFFFFF" w:val="clear"/>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
        <w:widowControl w:val="false"/>
        <w:spacing w:before="0" w:after="0"/>
        <w:ind w:firstLine="709" w:left="0" w:right="0"/>
        <w:jc w:val="both"/>
        <w:rPr>
          <w:highlight w:val="none"/>
          <w:shd w:fill="FFFFFF" w:val="clear"/>
        </w:rPr>
      </w:pPr>
      <w:r>
        <w:rPr>
          <w:b/>
          <w:shd w:fill="FFFFFF" w:val="clear"/>
        </w:rPr>
        <w:t>Победитель</w:t>
      </w:r>
      <w:r>
        <w:rPr>
          <w:shd w:fill="FFFFFF" w:val="clear"/>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highlight w:val="none"/>
          <w:shd w:fill="FFFFFF" w:val="clear"/>
        </w:rPr>
      </w:pPr>
      <w:r>
        <w:rPr>
          <w:b/>
          <w:shd w:fill="FFFFFF" w:val="clear"/>
        </w:rPr>
        <w:t>Открытая часть электронной площадки</w:t>
      </w:r>
      <w:r>
        <w:rPr>
          <w:shd w:fill="FFFFFF" w:val="clea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highlight w:val="none"/>
          <w:shd w:fill="FFFFFF" w:val="clear"/>
        </w:rPr>
      </w:pPr>
      <w:r>
        <w:rPr>
          <w:b/>
          <w:shd w:fill="FFFFFF" w:val="clear"/>
        </w:rPr>
        <w:t>Закрытая часть электронной площадки</w:t>
      </w:r>
      <w:r>
        <w:rPr>
          <w:shd w:fill="FFFFFF" w:val="clea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highlight w:val="none"/>
          <w:shd w:fill="FFFFFF" w:val="clear"/>
        </w:rPr>
      </w:pPr>
      <w:r>
        <w:rPr>
          <w:b/>
          <w:shd w:fill="FFFFFF" w:val="clear"/>
        </w:rPr>
        <w:t>Электронная подпись</w:t>
      </w:r>
      <w:r>
        <w:rPr>
          <w:shd w:fill="FFFFFF" w:val="clea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highlight w:val="none"/>
          <w:shd w:fill="FFFFFF" w:val="clear"/>
        </w:rPr>
      </w:pPr>
      <w:r>
        <w:rPr>
          <w:b/>
          <w:shd w:fill="FFFFFF" w:val="clear"/>
        </w:rPr>
        <w:t>Электронный документ</w:t>
      </w:r>
      <w:r>
        <w:rPr>
          <w:shd w:fill="FFFFFF" w:val="clea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highlight w:val="none"/>
          <w:shd w:fill="FFFFFF" w:val="clear"/>
        </w:rPr>
      </w:pPr>
      <w:r>
        <w:rPr>
          <w:b/>
          <w:shd w:fill="FFFFFF" w:val="clear"/>
        </w:rPr>
        <w:t>Электронный образ документа</w:t>
      </w:r>
      <w:r>
        <w:rPr>
          <w:shd w:fill="FFFFFF" w:val="clea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highlight w:val="none"/>
          <w:shd w:fill="FFFFFF" w:val="clear"/>
        </w:rPr>
      </w:pPr>
      <w:r>
        <w:rPr>
          <w:b/>
          <w:shd w:fill="FFFFFF" w:val="clear"/>
        </w:rPr>
        <w:t>Электронное сообщение (электронное уведомление)</w:t>
      </w:r>
      <w:r>
        <w:rPr>
          <w:shd w:fill="FFFFFF" w:val="clear"/>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highlight w:val="none"/>
          <w:shd w:fill="FFFFFF" w:val="clear"/>
        </w:rPr>
      </w:pPr>
      <w:r>
        <w:rPr>
          <w:b/>
          <w:shd w:fill="FFFFFF" w:val="clear"/>
        </w:rPr>
        <w:t>Электронный журнал</w:t>
      </w:r>
      <w:r>
        <w:rPr>
          <w:shd w:fill="FFFFFF" w:val="clear"/>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highlight w:val="none"/>
          <w:shd w:fill="FFFFFF" w:val="clear"/>
        </w:rPr>
      </w:pPr>
      <w:r>
        <w:rPr>
          <w:b/>
          <w:shd w:fill="FFFFFF" w:val="clear"/>
        </w:rPr>
        <w:t>«Личный кабинет»</w:t>
      </w:r>
      <w:r>
        <w:rPr>
          <w:shd w:fill="FFFFFF" w:val="clea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pPr>
      <w:r>
        <w:rPr>
          <w:b/>
          <w:shd w:fill="FFFFFF" w:val="clear"/>
        </w:rPr>
        <w:t>Официальные сайты по продаже имущества</w:t>
      </w:r>
      <w:r>
        <w:rPr>
          <w:shd w:fill="FFFFFF" w:val="clea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46"/>
            <w:shd w:fill="FFFFFF" w:val="clear"/>
          </w:rPr>
          <w:t>www.rosim.ru</w:t>
        </w:r>
      </w:hyperlink>
      <w:r>
        <w:rPr>
          <w:shd w:fill="FFFFFF" w:val="clear"/>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highlight w:val="none"/>
          <w:shd w:fill="FFFFFF" w:val="clear"/>
        </w:rPr>
      </w:pPr>
      <w:r>
        <w:rPr>
          <w:b/>
          <w:shd w:fill="FFFFFF" w:val="clear"/>
        </w:rPr>
      </w:r>
    </w:p>
    <w:p>
      <w:pPr>
        <w:pStyle w:val="BodyText"/>
        <w:widowControl w:val="false"/>
        <w:spacing w:lineRule="auto" w:line="264"/>
        <w:ind w:firstLine="720" w:left="0" w:right="57"/>
        <w:jc w:val="center"/>
        <w:rPr>
          <w:highlight w:val="none"/>
          <w:shd w:fill="FFFFFF" w:val="clear"/>
        </w:rPr>
      </w:pPr>
      <w:r>
        <w:rPr>
          <w:b/>
          <w:shd w:fill="FFFFFF" w:val="clear"/>
        </w:rPr>
        <w:t>2. Правовое регулирование</w:t>
      </w:r>
    </w:p>
    <w:p>
      <w:pPr>
        <w:pStyle w:val="Normal"/>
        <w:widowControl w:val="false"/>
        <w:ind w:firstLine="709" w:left="0" w:right="57"/>
        <w:jc w:val="both"/>
        <w:rPr>
          <w:highlight w:val="none"/>
          <w:shd w:fill="FFFFFF" w:val="clear"/>
        </w:rPr>
      </w:pPr>
      <w:r>
        <w:rPr>
          <w:shd w:fill="FFFFFF" w:val="clear"/>
        </w:rPr>
        <w:t>Аукцион проводится в соответствии с:</w:t>
      </w:r>
    </w:p>
    <w:p>
      <w:pPr>
        <w:pStyle w:val="Normal"/>
        <w:widowControl w:val="false"/>
        <w:ind w:firstLine="709" w:left="0" w:right="57"/>
        <w:jc w:val="both"/>
        <w:rPr>
          <w:highlight w:val="none"/>
          <w:shd w:fill="FFFFFF" w:val="clear"/>
        </w:rPr>
      </w:pPr>
      <w:r>
        <w:rPr>
          <w:shd w:fill="FFFFFF" w:val="clear"/>
        </w:rPr>
        <w:t>- Гражданским кодексом Российской Федерации;</w:t>
      </w:r>
    </w:p>
    <w:p>
      <w:pPr>
        <w:pStyle w:val="Normal"/>
        <w:widowControl w:val="false"/>
        <w:ind w:firstLine="709" w:left="0" w:right="57"/>
        <w:jc w:val="both"/>
        <w:rPr>
          <w:highlight w:val="none"/>
          <w:shd w:fill="FFFFFF" w:val="clear"/>
        </w:rPr>
      </w:pPr>
      <w:r>
        <w:rPr>
          <w:shd w:fill="FFFFFF" w:val="clear"/>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highlight w:val="none"/>
          <w:shd w:fill="FFFFFF" w:val="clear"/>
        </w:rPr>
      </w:pPr>
      <w:r>
        <w:rPr>
          <w:shd w:fill="FFFFFF" w:val="clea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highlight w:val="none"/>
          <w:shd w:fill="FFFFFF" w:val="clear"/>
        </w:rPr>
      </w:pPr>
      <w:r>
        <w:rPr>
          <w:shd w:fill="FFFFFF" w:val="clear"/>
        </w:rPr>
        <w:t>- распоряжениями ТУ Росимущества об условиях приватизации;</w:t>
      </w:r>
    </w:p>
    <w:p>
      <w:pPr>
        <w:pStyle w:val="Normal"/>
        <w:widowControl w:val="false"/>
        <w:ind w:firstLine="709" w:left="0" w:right="57"/>
        <w:jc w:val="both"/>
        <w:rPr>
          <w:highlight w:val="none"/>
          <w:shd w:fill="FFFFFF" w:val="clear"/>
        </w:rPr>
      </w:pPr>
      <w:r>
        <w:rPr>
          <w:shd w:fill="FFFFFF" w:val="clear"/>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highlight w:val="none"/>
          <w:shd w:fill="FFFFFF" w:val="clear"/>
        </w:rPr>
      </w:pPr>
      <w:r>
        <w:rPr>
          <w:b/>
          <w:sz w:val="24"/>
          <w:shd w:fill="FFFFFF" w:val="clear"/>
        </w:rPr>
        <w:t>Сведения об аукционе</w:t>
      </w:r>
    </w:p>
    <w:p>
      <w:pPr>
        <w:pStyle w:val="Normal"/>
        <w:widowControl w:val="false"/>
        <w:ind w:firstLine="709" w:left="0" w:right="0"/>
        <w:jc w:val="both"/>
        <w:rPr>
          <w:highlight w:val="none"/>
          <w:shd w:fill="FFFFFF" w:val="clear"/>
        </w:rPr>
      </w:pPr>
      <w:r>
        <w:rPr>
          <w:b w:val="false"/>
          <w:bCs w:val="false"/>
          <w:sz w:val="24"/>
          <w:szCs w:val="24"/>
          <w:shd w:fill="FFFFFF" w:val="clear"/>
        </w:rPr>
        <w:t>3.1. Основание проведен</w:t>
      </w:r>
      <w:r>
        <w:rPr>
          <w:b w:val="false"/>
          <w:bCs w:val="false"/>
          <w:sz w:val="24"/>
          <w:szCs w:val="24"/>
          <w:shd w:fill="FFFFFF" w:val="clear"/>
        </w:rPr>
        <w:t xml:space="preserve">ия торгов – распоряжение Территориального управления </w:t>
      </w:r>
      <w:r>
        <w:rPr>
          <w:b w:val="false"/>
          <w:bCs w:val="false"/>
          <w:color w:val="000000"/>
          <w:sz w:val="24"/>
          <w:szCs w:val="24"/>
          <w:shd w:fill="FFFFFF" w:val="clear"/>
        </w:rPr>
        <w:t xml:space="preserve">Росимущества в Пермском крае от </w:t>
      </w:r>
      <w:r>
        <w:rPr>
          <w:b w:val="false"/>
          <w:bCs w:val="false"/>
          <w:color w:val="000000"/>
          <w:sz w:val="24"/>
          <w:szCs w:val="24"/>
          <w:shd w:fill="FFFFFF" w:val="clear"/>
        </w:rPr>
        <w:t>11.06.2026</w:t>
      </w:r>
      <w:r>
        <w:rPr>
          <w:b w:val="false"/>
          <w:bCs w:val="false"/>
          <w:color w:val="000000"/>
          <w:sz w:val="24"/>
          <w:szCs w:val="24"/>
          <w:shd w:fill="FFFFFF" w:val="clear"/>
        </w:rPr>
        <w:t xml:space="preserve"> № </w:t>
      </w:r>
      <w:r>
        <w:rPr>
          <w:b w:val="false"/>
          <w:bCs w:val="false"/>
          <w:color w:val="000000"/>
          <w:sz w:val="24"/>
          <w:szCs w:val="24"/>
          <w:shd w:fill="FFFFFF" w:val="clear"/>
        </w:rPr>
        <w:t>288</w:t>
      </w:r>
      <w:r>
        <w:rPr>
          <w:b w:val="false"/>
          <w:bCs w:val="false"/>
          <w:color w:val="000000"/>
          <w:sz w:val="24"/>
          <w:szCs w:val="24"/>
          <w:shd w:fill="FFFFFF" w:val="clear"/>
        </w:rPr>
        <w:t xml:space="preserve">-р  </w:t>
      </w:r>
      <w:r>
        <w:rPr>
          <w:b w:val="false"/>
          <w:bCs w:val="false"/>
          <w:sz w:val="24"/>
          <w:szCs w:val="24"/>
          <w:shd w:fill="FFFFFF" w:val="clear"/>
        </w:rPr>
        <w:t xml:space="preserve">Об условиях приватизации </w:t>
      </w:r>
      <w:r>
        <w:rPr>
          <w:b w:val="false"/>
          <w:bCs w:val="false"/>
          <w:color w:val="000000"/>
          <w:sz w:val="24"/>
          <w:szCs w:val="24"/>
          <w:u w:val="none"/>
          <w:shd w:fill="FFFFFF" w:val="clear"/>
        </w:rPr>
        <w:t xml:space="preserve"> земельного участка площадью 10 766 кв.м с кадастровым номером 59:07:0010110:1, с расположенными на нем объектами недвижимого имущества, по адресу: Пермский край, м.о. Краснокамский, г. Краснокамск, берег р. Кама, ацетиленовая станция у д. Конец Бор.</w:t>
      </w:r>
    </w:p>
    <w:p>
      <w:pPr>
        <w:pStyle w:val="Normal"/>
        <w:widowControl w:val="false"/>
        <w:ind w:firstLine="709" w:left="0" w:right="0"/>
        <w:jc w:val="both"/>
        <w:rPr>
          <w:highlight w:val="none"/>
          <w:shd w:fill="FFFFFF" w:val="clear"/>
        </w:rPr>
      </w:pPr>
      <w:r>
        <w:rPr>
          <w:b/>
          <w:sz w:val="24"/>
          <w:shd w:fill="FFFFFF" w:val="clear"/>
        </w:rPr>
        <w:t>3.2. Собственн</w:t>
      </w:r>
      <w:r>
        <w:rPr>
          <w:b/>
          <w:shd w:fill="FFFFFF" w:val="clear"/>
        </w:rPr>
        <w:t>ик выставляемого на торги имущества -</w:t>
      </w:r>
      <w:r>
        <w:rPr>
          <w:shd w:fill="FFFFFF" w:val="clear"/>
        </w:rPr>
        <w:t xml:space="preserve"> Российская Федерация.</w:t>
      </w:r>
    </w:p>
    <w:p>
      <w:pPr>
        <w:pStyle w:val="Normal"/>
        <w:widowControl w:val="false"/>
        <w:tabs>
          <w:tab w:val="clear" w:pos="720"/>
          <w:tab w:val="left" w:pos="0" w:leader="none"/>
        </w:tabs>
        <w:ind w:firstLine="709" w:left="0" w:right="0"/>
        <w:jc w:val="both"/>
        <w:rPr>
          <w:highlight w:val="none"/>
          <w:shd w:fill="FFFFFF" w:val="clear"/>
        </w:rPr>
      </w:pPr>
      <w:r>
        <w:rPr>
          <w:b/>
          <w:shd w:fill="FFFFFF" w:val="clear"/>
        </w:rPr>
        <w:t>3.3. Организатор (оператор электрон</w:t>
      </w:r>
      <w:bookmarkStart w:id="0" w:name="_GoBack"/>
      <w:bookmarkEnd w:id="0"/>
      <w:r>
        <w:rPr>
          <w:b/>
          <w:shd w:fill="FFFFFF" w:val="clear"/>
        </w:rPr>
        <w:t xml:space="preserve">ной площадки) торгов: </w:t>
      </w:r>
    </w:p>
    <w:p>
      <w:pPr>
        <w:pStyle w:val="BodyText211"/>
        <w:widowControl w:val="false"/>
        <w:tabs>
          <w:tab w:val="left" w:pos="0" w:leader="none"/>
          <w:tab w:val="left" w:pos="284" w:leader="none"/>
        </w:tabs>
        <w:spacing w:lineRule="auto" w:line="264"/>
        <w:ind w:firstLine="851" w:left="0" w:right="57"/>
        <w:rPr>
          <w:highlight w:val="none"/>
          <w:shd w:fill="FFFFFF" w:val="clear"/>
        </w:rPr>
      </w:pPr>
      <w:r>
        <w:rPr>
          <w:shd w:fill="FFFFFF" w:val="clear"/>
        </w:rPr>
        <w:t>Наименование – Общество с ограниченной ответственностью «РТС-тендер» (ООО "РТС ТЕНДЕР").</w:t>
      </w:r>
    </w:p>
    <w:p>
      <w:pPr>
        <w:pStyle w:val="BodyText211"/>
        <w:widowControl w:val="false"/>
        <w:tabs>
          <w:tab w:val="left" w:pos="0" w:leader="none"/>
          <w:tab w:val="left" w:pos="284" w:leader="none"/>
        </w:tabs>
        <w:spacing w:lineRule="auto" w:line="264"/>
        <w:ind w:hanging="284" w:left="284" w:right="57"/>
        <w:rPr>
          <w:highlight w:val="none"/>
          <w:shd w:fill="FFFFFF" w:val="clear"/>
        </w:rPr>
      </w:pPr>
      <w:r>
        <w:rPr>
          <w:shd w:fill="FFFFFF" w:val="clear"/>
        </w:rPr>
        <w:t>Адрес - 121151, г. Москва, набережная Тараса Шевченко, д.23-А.</w:t>
      </w:r>
    </w:p>
    <w:p>
      <w:pPr>
        <w:pStyle w:val="BodyText211"/>
        <w:widowControl w:val="false"/>
        <w:tabs>
          <w:tab w:val="left" w:pos="0" w:leader="none"/>
          <w:tab w:val="left" w:pos="284" w:leader="none"/>
        </w:tabs>
        <w:spacing w:lineRule="auto" w:line="264"/>
        <w:ind w:hanging="284" w:left="284" w:right="57"/>
        <w:rPr/>
      </w:pPr>
      <w:r>
        <w:rPr>
          <w:shd w:fill="FFFFFF" w:val="clear"/>
        </w:rPr>
        <w:t xml:space="preserve">Сайт - </w:t>
      </w:r>
      <w:hyperlink r:id="rId3">
        <w:r>
          <w:rPr>
            <w:rStyle w:val="ListLabel46"/>
            <w:shd w:fill="FFFFFF" w:val="clear"/>
          </w:rPr>
          <w:t>http://www.rts-tender.ru/</w:t>
        </w:r>
      </w:hyperlink>
    </w:p>
    <w:p>
      <w:pPr>
        <w:pStyle w:val="Normal"/>
        <w:widowControl w:val="false"/>
        <w:tabs>
          <w:tab w:val="clear" w:pos="720"/>
          <w:tab w:val="left" w:pos="0" w:leader="none"/>
        </w:tabs>
        <w:ind w:firstLine="709" w:left="0" w:right="0"/>
        <w:jc w:val="both"/>
        <w:rPr>
          <w:highlight w:val="none"/>
          <w:shd w:fill="FFFFFF" w:val="clear"/>
        </w:rPr>
      </w:pPr>
      <w:r>
        <w:rPr>
          <w:b/>
          <w:shd w:fill="FFFFFF" w:val="clear"/>
        </w:rPr>
        <w:t>3.4. Продавец:</w:t>
      </w:r>
    </w:p>
    <w:p>
      <w:pPr>
        <w:pStyle w:val="BodyText211"/>
        <w:widowControl w:val="false"/>
        <w:tabs>
          <w:tab w:val="left" w:pos="0" w:leader="none"/>
          <w:tab w:val="left" w:pos="284" w:leader="none"/>
        </w:tabs>
        <w:ind w:firstLine="709" w:left="0" w:right="0"/>
        <w:rPr>
          <w:highlight w:val="none"/>
          <w:shd w:fill="FFFFFF" w:val="clear"/>
        </w:rPr>
      </w:pPr>
      <w:r>
        <w:rPr>
          <w:b/>
          <w:shd w:fill="FFFFFF" w:val="clear"/>
        </w:rPr>
        <w:t>Наименование</w:t>
      </w:r>
      <w:r>
        <w:rPr>
          <w:shd w:fill="FFFFFF" w:val="clear"/>
        </w:rPr>
        <w:t xml:space="preserve"> </w:t>
      </w:r>
      <w:r>
        <w:rPr>
          <w:b/>
          <w:shd w:fill="FFFFFF" w:val="clear"/>
        </w:rPr>
        <w:t>-</w:t>
      </w:r>
      <w:r>
        <w:rPr>
          <w:shd w:fill="FFFFFF" w:val="clear"/>
        </w:rPr>
        <w:t xml:space="preserve"> Территориальное управление Федерального агентства по управлению государственным имуществом в Пермском крае.</w:t>
      </w:r>
    </w:p>
    <w:p>
      <w:pPr>
        <w:pStyle w:val="BodyText211"/>
        <w:widowControl w:val="false"/>
        <w:tabs>
          <w:tab w:val="left" w:pos="0" w:leader="none"/>
          <w:tab w:val="left" w:pos="284" w:leader="none"/>
        </w:tabs>
        <w:ind w:firstLine="709" w:left="0" w:right="0"/>
        <w:rPr>
          <w:highlight w:val="none"/>
          <w:shd w:fill="FFFFFF" w:val="clear"/>
        </w:rPr>
      </w:pPr>
      <w:r>
        <w:rPr>
          <w:shd w:fill="FFFFFF" w:val="clear"/>
        </w:rPr>
        <w:t>Адрес – 614045, г. Пермь, ул. Куйбышева, д. 6.</w:t>
      </w:r>
    </w:p>
    <w:p>
      <w:pPr>
        <w:pStyle w:val="BodyText211"/>
        <w:widowControl w:val="false"/>
        <w:tabs>
          <w:tab w:val="left" w:pos="0" w:leader="none"/>
          <w:tab w:val="left" w:pos="284" w:leader="none"/>
        </w:tabs>
        <w:ind w:firstLine="709" w:left="0" w:right="0"/>
        <w:rPr>
          <w:highlight w:val="none"/>
          <w:shd w:fill="FFFFFF" w:val="clear"/>
        </w:rPr>
      </w:pPr>
      <w:r>
        <w:rPr>
          <w:shd w:fill="FFFFFF" w:val="clear"/>
        </w:rPr>
        <w:t>Сайт – http://www.tu59.rosim.ru/</w:t>
      </w:r>
    </w:p>
    <w:p>
      <w:pPr>
        <w:pStyle w:val="BodyText211"/>
        <w:widowControl w:val="false"/>
        <w:tabs>
          <w:tab w:val="left" w:pos="0" w:leader="none"/>
          <w:tab w:val="left" w:pos="284" w:leader="none"/>
        </w:tabs>
        <w:ind w:firstLine="709" w:left="0" w:right="0"/>
        <w:rPr>
          <w:highlight w:val="none"/>
          <w:shd w:fill="FFFFFF" w:val="clear"/>
        </w:rPr>
      </w:pPr>
      <w:r>
        <w:rPr>
          <w:shd w:fill="FFFFFF" w:val="clear"/>
        </w:rPr>
        <w:t>Телефон – (342) 236-38-77.</w:t>
      </w:r>
    </w:p>
    <w:p>
      <w:pPr>
        <w:pStyle w:val="BodyText211"/>
        <w:widowControl w:val="false"/>
        <w:tabs>
          <w:tab w:val="clear" w:pos="284"/>
          <w:tab w:val="left" w:pos="0" w:leader="none"/>
        </w:tabs>
        <w:ind w:firstLine="709" w:left="0" w:right="57"/>
        <w:rPr>
          <w:highlight w:val="none"/>
          <w:shd w:fill="FFFFFF" w:val="clear"/>
        </w:rPr>
      </w:pPr>
      <w:r>
        <w:rPr>
          <w:b/>
          <w:shd w:fill="FFFFFF" w:val="clear"/>
        </w:rPr>
        <w:t>3.5. Форма продажи (способ приватизации) –</w:t>
      </w:r>
      <w:r>
        <w:rPr>
          <w:shd w:fill="FFFFFF" w:val="clear"/>
        </w:rPr>
        <w:t xml:space="preserve"> аукцион в электронной форме, открытый по составу участников и по форме подачи предложений о цене имущества.</w:t>
      </w:r>
    </w:p>
    <w:p>
      <w:pPr>
        <w:pStyle w:val="BodyText211"/>
        <w:widowControl w:val="false"/>
        <w:tabs>
          <w:tab w:val="clear" w:pos="284"/>
          <w:tab w:val="left" w:pos="0" w:leader="none"/>
        </w:tabs>
        <w:spacing w:lineRule="auto" w:line="264"/>
        <w:ind w:firstLine="709" w:left="0" w:right="0"/>
        <w:rPr>
          <w:highlight w:val="none"/>
          <w:shd w:fill="FFFFFF" w:val="clear"/>
        </w:rPr>
      </w:pPr>
      <w:r>
        <w:rPr>
          <w:b/>
          <w:shd w:fill="FFFFFF" w:val="clear"/>
        </w:rPr>
        <w:t xml:space="preserve">3.6. Сведения об Имуществе (лоте), выставляемом на аукционе в электронной форме: </w:t>
      </w:r>
    </w:p>
    <w:p>
      <w:pPr>
        <w:pStyle w:val="BodyText211"/>
        <w:widowControl w:val="false"/>
        <w:tabs>
          <w:tab w:val="clear" w:pos="284"/>
        </w:tabs>
        <w:ind w:firstLine="709" w:left="0" w:right="0"/>
        <w:rPr>
          <w:highlight w:val="none"/>
          <w:shd w:fill="FFFFFF" w:val="clear"/>
        </w:rPr>
      </w:pPr>
      <w:r>
        <w:rPr>
          <w:b/>
          <w:shd w:fill="FFFFFF" w:val="clear"/>
        </w:rPr>
        <w:t>3.6.1. Наименование выставляемого на продажу Имущества (лота):</w:t>
      </w:r>
    </w:p>
    <w:p>
      <w:pPr>
        <w:pStyle w:val="Normal"/>
        <w:widowControl w:val="false"/>
        <w:spacing w:before="0" w:after="120"/>
        <w:ind w:firstLine="709" w:left="0" w:right="0"/>
        <w:jc w:val="both"/>
        <w:rPr>
          <w:highlight w:val="none"/>
          <w:shd w:fill="FFFFFF" w:val="clear"/>
        </w:rPr>
      </w:pPr>
      <w:r>
        <w:rPr>
          <w:b w:val="false"/>
          <w:color w:val="000000"/>
          <w:sz w:val="24"/>
          <w:u w:val="none"/>
          <w:shd w:fill="FFFFFF" w:val="clear"/>
        </w:rPr>
        <w:t>Земельный участкок площадью 10 766 кв.м с кадастровым номером 59:07:0010110:1 (РНФИ П11260000480), с расположенными на нем объектами недвижимого имущества: стальной газопровод площадью 174 кв.м с кадастровым номером 59:07:0000000:3409 (РНФИ П12260001643), здание склада с платформой площадью 261,3 кв.м с кадастровым номером 59:07:0000000:3411 (РНФИ П12260001635), склад с пристроем площадью 49,3 кв.м с кадастровым номером 59:07:0000000:3408 (РНФИ П12260001642), здание (отстойник) площадью 9,8 кв.м с кадастровым номером 59:07:0000000:4268 (РНФИ П12260001638), здание склада для горючего площадью 26,6 кв.м с кадастровым номером 59:07:0000000:3414 (РНФИ П12260001637), насосная площадью 13,3 кв.м с кадастровым номером 59:07:0000000:3413 (РНФИ П12260001639), здание бытовых помещений с пристроями площадью 202,5 кв.м с кадастровым номером 59:07:0000000:3410 (РНФИ П12260001634), склад площадью 47,7 кв.м с кадастровым номером 59:07:0540101:284 (РНФИ П12260001641), здание цеха наполнения с платформой площадью 77 кв.м с кадастровым номером 59:07:0000000:3415 (РНФИ П12260001636), по адресу: Пермский край, м.о. Краснокамский, г. Краснокамск, берег р. Кама, ацетиленовая станция у д. Конец Бор</w:t>
      </w:r>
      <w:r>
        <w:rPr>
          <w:b/>
          <w:color w:val="000000"/>
          <w:sz w:val="24"/>
          <w:u w:val="none"/>
          <w:shd w:fill="FFFFFF" w:val="clear"/>
        </w:rPr>
        <w:t>.</w:t>
      </w:r>
    </w:p>
    <w:p>
      <w:pPr>
        <w:pStyle w:val="Normal"/>
        <w:widowControl w:val="false"/>
        <w:spacing w:before="0" w:after="120"/>
        <w:jc w:val="center"/>
        <w:rPr>
          <w:highlight w:val="none"/>
          <w:shd w:fill="FFFFFF" w:val="clear"/>
        </w:rPr>
      </w:pPr>
      <w:r>
        <w:rPr>
          <w:b/>
          <w:sz w:val="24"/>
          <w:shd w:fill="FFFFFF" w:val="clear"/>
        </w:rPr>
        <w:t>Характеристика земельного участка</w:t>
      </w:r>
    </w:p>
    <w:tbl>
      <w:tblPr>
        <w:tblStyle w:val="Style_6"/>
        <w:tblW w:w="9482" w:type="dxa"/>
        <w:jc w:val="left"/>
        <w:tblInd w:w="5" w:type="dxa"/>
        <w:tblLayout w:type="fixed"/>
        <w:tblCellMar>
          <w:top w:w="0" w:type="dxa"/>
          <w:left w:w="108" w:type="dxa"/>
          <w:bottom w:w="0" w:type="dxa"/>
          <w:right w:w="108" w:type="dxa"/>
        </w:tblCellMar>
      </w:tblPr>
      <w:tblGrid>
        <w:gridCol w:w="2892"/>
        <w:gridCol w:w="6589"/>
      </w:tblGrid>
      <w:tr>
        <w:trPr>
          <w:trHeight w:val="448" w:hRule="atLeast"/>
        </w:trPr>
        <w:tc>
          <w:tcPr>
            <w:tcW w:w="28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Местоположение:</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120"/>
              <w:ind w:hanging="0" w:left="0" w:right="0"/>
              <w:jc w:val="both"/>
              <w:rPr>
                <w:sz w:val="22"/>
                <w:highlight w:val="none"/>
                <w:shd w:fill="FFFFFF" w:val="clear"/>
              </w:rPr>
            </w:pPr>
            <w:r>
              <w:rPr>
                <w:b w:val="false"/>
                <w:kern w:val="0"/>
                <w:sz w:val="22"/>
                <w:szCs w:val="20"/>
                <w:shd w:fill="FFFFFF" w:val="clear"/>
              </w:rPr>
              <w:t>Пермский край, г. Краснокамск, ацетиленовая станция у д. Конец-Бор</w:t>
            </w:r>
          </w:p>
        </w:tc>
      </w:tr>
      <w:tr>
        <w:trPr/>
        <w:tc>
          <w:tcPr>
            <w:tcW w:w="28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Номер РФИ:</w:t>
            </w:r>
          </w:p>
        </w:tc>
        <w:tc>
          <w:tcPr>
            <w:tcW w:w="658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П11260000480</w:t>
            </w:r>
          </w:p>
        </w:tc>
      </w:tr>
      <w:tr>
        <w:trPr/>
        <w:tc>
          <w:tcPr>
            <w:tcW w:w="28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Кадастровый номер:</w:t>
            </w:r>
          </w:p>
        </w:tc>
        <w:tc>
          <w:tcPr>
            <w:tcW w:w="658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b w:val="false"/>
                <w:kern w:val="0"/>
                <w:sz w:val="22"/>
                <w:szCs w:val="20"/>
                <w:shd w:fill="FFFFFF" w:val="clear"/>
              </w:rPr>
              <w:t>59:07:0010110:1</w:t>
            </w:r>
          </w:p>
        </w:tc>
      </w:tr>
      <w:tr>
        <w:trPr/>
        <w:tc>
          <w:tcPr>
            <w:tcW w:w="28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Общая площадь (кв. м.):</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10766 +/- 36</w:t>
            </w:r>
          </w:p>
        </w:tc>
      </w:tr>
      <w:tr>
        <w:trPr/>
        <w:tc>
          <w:tcPr>
            <w:tcW w:w="28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Категория земель:</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Земли населенных пунктов</w:t>
            </w:r>
          </w:p>
        </w:tc>
      </w:tr>
      <w:tr>
        <w:trPr/>
        <w:tc>
          <w:tcPr>
            <w:tcW w:w="28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58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Не зарегистрировано</w:t>
            </w:r>
          </w:p>
        </w:tc>
      </w:tr>
      <w:tr>
        <w:trPr/>
        <w:tc>
          <w:tcPr>
            <w:tcW w:w="28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Собственность РФ</w:t>
            </w:r>
          </w:p>
        </w:tc>
      </w:tr>
      <w:tr>
        <w:trPr>
          <w:trHeight w:val="768" w:hRule="atLeast"/>
        </w:trPr>
        <w:tc>
          <w:tcPr>
            <w:tcW w:w="289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Правоустанавливающие документы:</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20"/>
                <w:tab w:val="left" w:pos="2520" w:leader="none"/>
              </w:tabs>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Государственная регистрация права собственности от 17.05.2006 59-59-01/053/2006-473;</w:t>
            </w:r>
          </w:p>
          <w:p>
            <w:pPr>
              <w:pStyle w:val="Normal"/>
              <w:widowControl/>
              <w:tabs>
                <w:tab w:val="clear" w:pos="720"/>
                <w:tab w:val="left" w:pos="2520" w:leader="none"/>
              </w:tabs>
              <w:suppressAutoHyphens w:val="true"/>
              <w:spacing w:before="0" w:after="0"/>
              <w:ind w:hanging="0" w:left="0" w:right="0"/>
              <w:jc w:val="left"/>
              <w:rPr>
                <w:color w:val="000000"/>
                <w:spacing w:val="0"/>
                <w:sz w:val="22"/>
                <w:highlight w:val="none"/>
                <w:shd w:fill="FFFFFF" w:val="clear"/>
              </w:rPr>
            </w:pPr>
            <w:r>
              <w:rPr>
                <w:color w:val="000000"/>
                <w:spacing w:val="0"/>
                <w:sz w:val="22"/>
                <w:shd w:fill="FFFFFF" w:val="clear"/>
              </w:rPr>
            </w:r>
          </w:p>
        </w:tc>
      </w:tr>
    </w:tbl>
    <w:p>
      <w:pPr>
        <w:pStyle w:val="Normal"/>
        <w:widowControl w:val="false"/>
        <w:tabs>
          <w:tab w:val="clear" w:pos="720"/>
          <w:tab w:val="left" w:pos="2481" w:leader="none"/>
        </w:tabs>
        <w:jc w:val="center"/>
        <w:rPr>
          <w:highlight w:val="none"/>
          <w:shd w:fill="FFFFFF" w:val="clear"/>
        </w:rPr>
      </w:pPr>
      <w:r>
        <w:rPr>
          <w:shd w:fill="FFFFFF" w:val="clear"/>
        </w:rPr>
        <w:t>Характеристика объекта недвижимого имущества.</w:t>
      </w:r>
    </w:p>
    <w:p>
      <w:pPr>
        <w:pStyle w:val="Normal"/>
        <w:widowControl w:val="false"/>
        <w:tabs>
          <w:tab w:val="clear" w:pos="720"/>
          <w:tab w:val="left" w:pos="2481" w:leader="none"/>
        </w:tabs>
        <w:jc w:val="center"/>
        <w:rPr>
          <w:highlight w:val="none"/>
          <w:shd w:fill="FFFFFF" w:val="clear"/>
        </w:rPr>
      </w:pPr>
      <w:r>
        <w:rPr>
          <w:shd w:fill="FFFFFF" w:val="clear"/>
        </w:rPr>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b w:val="false"/>
                <w:kern w:val="0"/>
                <w:sz w:val="22"/>
                <w:szCs w:val="20"/>
                <w:highlight w:val="white"/>
              </w:rPr>
              <w:t>стальной газопровод</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П12260001643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59:07:0000000:3409</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Протяженность (в метрах):</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highlight w:val="white"/>
              </w:rPr>
            </w:pPr>
            <w:r>
              <w:rPr>
                <w:kern w:val="0"/>
                <w:sz w:val="22"/>
                <w:szCs w:val="20"/>
                <w:highlight w:val="white"/>
              </w:rPr>
              <w:t>174</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uppressAutoHyphens w:val="true"/>
              <w:jc w:val="left"/>
              <w:rPr>
                <w:sz w:val="22"/>
                <w:highlight w:val="white"/>
              </w:rPr>
            </w:pPr>
            <w:r>
              <w:rPr>
                <w:kern w:val="0"/>
                <w:sz w:val="22"/>
                <w:szCs w:val="20"/>
                <w:highlight w:val="white"/>
              </w:rPr>
              <w:t>данные отсутствуют</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 xml:space="preserve">Государственная регистрация права собственности от 31.01.2017 № </w:t>
            </w:r>
            <w:r>
              <w:rPr>
                <w:kern w:val="0"/>
                <w:sz w:val="22"/>
                <w:szCs w:val="20"/>
                <w:highlight w:val="white"/>
              </w:rPr>
              <w:t>59:07:0000000:3409-59/008/2017-1</w:t>
            </w:r>
            <w:r>
              <w:rPr>
                <w:color w:val="000000"/>
                <w:spacing w:val="0"/>
                <w:kern w:val="0"/>
                <w:sz w:val="22"/>
                <w:szCs w:val="20"/>
                <w:highlight w:val="white"/>
              </w:rPr>
              <w:t>;</w:t>
            </w:r>
          </w:p>
        </w:tc>
      </w:tr>
    </w:tbl>
    <w:p>
      <w:pPr>
        <w:pStyle w:val="Normal"/>
        <w:widowControl w:val="false"/>
        <w:tabs>
          <w:tab w:val="clear" w:pos="720"/>
          <w:tab w:val="left" w:pos="2481" w:leader="none"/>
        </w:tabs>
        <w:jc w:val="center"/>
        <w:rPr>
          <w:highlight w:val="none"/>
          <w:shd w:fill="FFFFFF" w:val="clear"/>
        </w:rPr>
      </w:pPr>
      <w:r>
        <w:rPr>
          <w:shd w:fill="FFFFFF" w:val="clear"/>
        </w:rPr>
      </w:r>
    </w:p>
    <w:p>
      <w:pPr>
        <w:pStyle w:val="Normal"/>
        <w:widowControl w:val="false"/>
        <w:tabs>
          <w:tab w:val="clear" w:pos="720"/>
          <w:tab w:val="left" w:pos="2481" w:leader="none"/>
        </w:tabs>
        <w:jc w:val="center"/>
        <w:rPr>
          <w:highlight w:val="none"/>
          <w:shd w:fill="FFFFFF" w:val="clear"/>
        </w:rPr>
      </w:pPr>
      <w:r>
        <w:rPr>
          <w:b/>
          <w:sz w:val="22"/>
          <w:shd w:fill="FFFFFF" w:val="clear"/>
        </w:rPr>
        <w:t>Характеристика объекта недвижимого имущества.</w:t>
      </w:r>
    </w:p>
    <w:p>
      <w:pPr>
        <w:pStyle w:val="Normal"/>
        <w:widowControl w:val="false"/>
        <w:tabs>
          <w:tab w:val="clear" w:pos="720"/>
          <w:tab w:val="left" w:pos="284" w:leader="none"/>
        </w:tabs>
        <w:ind w:firstLine="709" w:left="0" w:right="0"/>
        <w:jc w:val="both"/>
        <w:rPr>
          <w:b/>
          <w:highlight w:val="none"/>
          <w:shd w:fill="FFFFFF" w:val="clear"/>
        </w:rPr>
      </w:pPr>
      <w:r>
        <w:rPr>
          <w:b/>
          <w:shd w:fill="FFFFFF" w:val="clear"/>
        </w:rPr>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b w:val="false"/>
                <w:kern w:val="0"/>
                <w:sz w:val="22"/>
                <w:szCs w:val="20"/>
                <w:highlight w:val="white"/>
              </w:rPr>
              <w:t>здание склада с платформой</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П12260001635</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59:07:0000000:3411</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highlight w:val="white"/>
              </w:rPr>
            </w:pPr>
            <w:r>
              <w:rPr>
                <w:kern w:val="0"/>
                <w:sz w:val="22"/>
                <w:szCs w:val="20"/>
                <w:highlight w:val="white"/>
              </w:rPr>
              <w:t>261.3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uppressAutoHyphens w:val="true"/>
              <w:jc w:val="left"/>
              <w:rPr>
                <w:sz w:val="22"/>
                <w:highlight w:val="white"/>
              </w:rPr>
            </w:pPr>
            <w:r>
              <w:rPr>
                <w:kern w:val="0"/>
                <w:sz w:val="22"/>
                <w:szCs w:val="20"/>
                <w:highlight w:val="white"/>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 xml:space="preserve">Государственная регистрация права собственности от 09.12.2011 № </w:t>
            </w:r>
            <w:r>
              <w:rPr>
                <w:kern w:val="0"/>
                <w:sz w:val="22"/>
                <w:szCs w:val="20"/>
                <w:shd w:fill="FFFFFF" w:val="clear"/>
              </w:rPr>
              <w:t>59-59-01/016/2011-116</w:t>
            </w:r>
            <w:r>
              <w:rPr>
                <w:color w:val="000000"/>
                <w:spacing w:val="0"/>
                <w:kern w:val="0"/>
                <w:sz w:val="22"/>
                <w:szCs w:val="20"/>
                <w:shd w:fill="FFFFFF" w:val="clear"/>
              </w:rPr>
              <w:t>;</w:t>
            </w:r>
          </w:p>
        </w:tc>
      </w:tr>
    </w:tbl>
    <w:p>
      <w:pPr>
        <w:pStyle w:val="Normal"/>
        <w:widowControl w:val="false"/>
        <w:tabs>
          <w:tab w:val="clear" w:pos="720"/>
          <w:tab w:val="left" w:pos="2481" w:leader="none"/>
        </w:tabs>
        <w:jc w:val="center"/>
        <w:rPr>
          <w:highlight w:val="none"/>
          <w:shd w:fill="FFFFFF" w:val="clear"/>
        </w:rPr>
      </w:pPr>
      <w:r/>
      <w:r>
        <w:rPr>
          <w:b/>
          <w:sz w:val="22"/>
          <w:shd w:fill="FFFFFF" w:val="clear"/>
        </w:rPr>
        <w:t>Характеристика объекта недвижимого имущества.</w:t>
      </w:r>
    </w:p>
    <w:p>
      <w:pPr>
        <w:pStyle w:val="Normal"/>
        <w:widowControl w:val="false"/>
        <w:tabs>
          <w:tab w:val="clear" w:pos="720"/>
          <w:tab w:val="left" w:pos="284" w:leader="none"/>
        </w:tabs>
        <w:ind w:firstLine="709" w:left="0" w:right="0"/>
        <w:jc w:val="both"/>
        <w:rPr>
          <w:b/>
          <w:highlight w:val="none"/>
          <w:shd w:fill="FFFFFF" w:val="clear"/>
        </w:rPr>
      </w:pPr>
      <w:r>
        <w:rPr>
          <w:b/>
          <w:shd w:fill="FFFFFF" w:val="clear"/>
        </w:rPr>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b w:val="false"/>
                <w:kern w:val="0"/>
                <w:sz w:val="22"/>
                <w:szCs w:val="20"/>
                <w:highlight w:val="white"/>
              </w:rPr>
              <w:t>склад с пристроем</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П12260001642</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59:07:0000000:3408</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highlight w:val="white"/>
              </w:rPr>
            </w:pPr>
            <w:r>
              <w:rPr>
                <w:kern w:val="0"/>
                <w:sz w:val="22"/>
                <w:szCs w:val="20"/>
                <w:highlight w:val="white"/>
              </w:rPr>
              <w:t>49.3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uppressAutoHyphens w:val="true"/>
              <w:jc w:val="left"/>
              <w:rPr>
                <w:sz w:val="22"/>
                <w:highlight w:val="white"/>
              </w:rPr>
            </w:pPr>
            <w:r>
              <w:rPr>
                <w:kern w:val="0"/>
                <w:sz w:val="22"/>
                <w:szCs w:val="20"/>
                <w:highlight w:val="white"/>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 xml:space="preserve">Государственная регистрация права собственности от 07.12.2011 № </w:t>
            </w:r>
            <w:r>
              <w:rPr>
                <w:kern w:val="0"/>
                <w:sz w:val="22"/>
                <w:szCs w:val="20"/>
                <w:highlight w:val="white"/>
              </w:rPr>
              <w:t>59-59-01/016/2011-115</w:t>
            </w:r>
            <w:r>
              <w:rPr>
                <w:color w:val="000000"/>
                <w:spacing w:val="0"/>
                <w:kern w:val="0"/>
                <w:sz w:val="22"/>
                <w:szCs w:val="20"/>
                <w:highlight w:val="white"/>
              </w:rPr>
              <w:t>;</w:t>
            </w:r>
          </w:p>
        </w:tc>
      </w:tr>
    </w:tbl>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highlight w:val="none"/>
          <w:shd w:fill="FFFFFF" w:val="clear"/>
        </w:rPr>
      </w:pPr>
      <w:r>
        <w:rPr>
          <w:sz w:val="22"/>
          <w:shd w:fill="FFFFFF" w:val="clear"/>
        </w:rPr>
        <w:t>Характеристика объекта недвижимого имущества.</w:t>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b w:val="false"/>
                <w:kern w:val="0"/>
                <w:sz w:val="22"/>
                <w:szCs w:val="20"/>
                <w:highlight w:val="white"/>
              </w:rPr>
              <w:t>здание (отстойник)</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П12260001638</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59:07:0000000:4268</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highlight w:val="white"/>
              </w:rPr>
            </w:pPr>
            <w:r>
              <w:rPr>
                <w:kern w:val="0"/>
                <w:sz w:val="22"/>
                <w:szCs w:val="20"/>
                <w:highlight w:val="white"/>
              </w:rPr>
              <w:t>9.8</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uppressAutoHyphens w:val="true"/>
              <w:jc w:val="left"/>
              <w:rPr>
                <w:sz w:val="22"/>
                <w:highlight w:val="white"/>
              </w:rPr>
            </w:pPr>
            <w:r>
              <w:rPr>
                <w:kern w:val="0"/>
                <w:sz w:val="22"/>
                <w:szCs w:val="20"/>
                <w:highlight w:val="white"/>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 xml:space="preserve">Государственная регистрация права собственности от 09.12.2011 № </w:t>
            </w:r>
            <w:r>
              <w:rPr>
                <w:kern w:val="0"/>
                <w:sz w:val="22"/>
                <w:szCs w:val="20"/>
                <w:shd w:fill="FFFFFF" w:val="clear"/>
              </w:rPr>
              <w:t>59-59-01/016/2011-118</w:t>
            </w:r>
            <w:r>
              <w:rPr>
                <w:color w:val="000000"/>
                <w:spacing w:val="0"/>
                <w:kern w:val="0"/>
                <w:sz w:val="22"/>
                <w:szCs w:val="20"/>
                <w:shd w:fill="FFFFFF" w:val="clear"/>
              </w:rPr>
              <w:t>;</w:t>
            </w:r>
          </w:p>
        </w:tc>
      </w:tr>
    </w:tbl>
    <w:p>
      <w:pPr>
        <w:pStyle w:val="Normal"/>
        <w:widowControl w:val="false"/>
        <w:tabs>
          <w:tab w:val="clear" w:pos="720"/>
          <w:tab w:val="left" w:pos="2481" w:leader="none"/>
        </w:tabs>
        <w:jc w:val="center"/>
        <w:rPr>
          <w:highlight w:val="none"/>
          <w:shd w:fill="FFFFFF" w:val="clear"/>
        </w:rPr>
      </w:pPr>
      <w:r/>
      <w:r>
        <w:rPr>
          <w:b/>
          <w:sz w:val="22"/>
          <w:shd w:fill="FFFFFF" w:val="clear"/>
        </w:rPr>
        <w:t>Характеристика объекта недвижимого имущества.</w:t>
      </w:r>
    </w:p>
    <w:p>
      <w:pPr>
        <w:pStyle w:val="Normal"/>
        <w:widowControl w:val="false"/>
        <w:tabs>
          <w:tab w:val="clear" w:pos="720"/>
          <w:tab w:val="left" w:pos="284" w:leader="none"/>
        </w:tabs>
        <w:ind w:firstLine="709" w:left="0" w:right="0"/>
        <w:jc w:val="both"/>
        <w:rPr>
          <w:b/>
          <w:highlight w:val="none"/>
          <w:shd w:fill="FFFFFF" w:val="clear"/>
        </w:rPr>
      </w:pPr>
      <w:r>
        <w:rPr>
          <w:b/>
          <w:shd w:fill="FFFFFF" w:val="clear"/>
        </w:rPr>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none"/>
                <w:shd w:fill="FFFFFF" w:val="clear"/>
              </w:rPr>
            </w:pPr>
            <w:r>
              <w:rPr>
                <w:b w:val="false"/>
                <w:kern w:val="0"/>
                <w:sz w:val="22"/>
                <w:szCs w:val="20"/>
                <w:shd w:fill="FFFFFF" w:val="clear"/>
              </w:rPr>
              <w:t>здание склада для горючего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none"/>
                <w:shd w:fill="FFFFFF" w:val="clear"/>
              </w:rPr>
            </w:pPr>
            <w:r>
              <w:rPr>
                <w:kern w:val="0"/>
                <w:sz w:val="22"/>
                <w:szCs w:val="20"/>
                <w:shd w:fill="FFFFFF" w:val="clear"/>
              </w:rPr>
              <w:t>П12260001637</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none"/>
                <w:shd w:fill="FFFFFF" w:val="clear"/>
              </w:rPr>
            </w:pPr>
            <w:r>
              <w:rPr>
                <w:kern w:val="0"/>
                <w:sz w:val="22"/>
                <w:szCs w:val="20"/>
                <w:shd w:fill="FFFFFF" w:val="clear"/>
              </w:rPr>
              <w:t>59:07:0000000:3414</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highlight w:val="none"/>
                <w:shd w:fill="FFFFFF" w:val="clear"/>
              </w:rPr>
            </w:pPr>
            <w:r>
              <w:rPr>
                <w:kern w:val="0"/>
                <w:sz w:val="22"/>
                <w:szCs w:val="20"/>
                <w:shd w:fill="FFFFFF" w:val="clear"/>
              </w:rPr>
              <w:t>26.6</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uppressAutoHyphens w:val="true"/>
              <w:jc w:val="left"/>
              <w:rPr>
                <w:sz w:val="22"/>
                <w:highlight w:val="none"/>
                <w:shd w:fill="FFFFFF" w:val="clear"/>
              </w:rPr>
            </w:pPr>
            <w:r>
              <w:rPr>
                <w:kern w:val="0"/>
                <w:sz w:val="22"/>
                <w:szCs w:val="20"/>
                <w:shd w:fill="FFFFFF" w:val="clear"/>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Государственная регистрация права собственности от 09.12.2011 № 59-59-01/016/2011-117;</w:t>
            </w:r>
          </w:p>
        </w:tc>
      </w:tr>
    </w:tbl>
    <w:p>
      <w:pPr>
        <w:pStyle w:val="Normal"/>
        <w:widowControl w:val="false"/>
        <w:tabs>
          <w:tab w:val="clear" w:pos="720"/>
          <w:tab w:val="left" w:pos="2481" w:leader="none"/>
        </w:tabs>
        <w:jc w:val="center"/>
        <w:rPr>
          <w:highlight w:val="none"/>
          <w:shd w:fill="FFFFFF" w:val="clear"/>
        </w:rPr>
      </w:pPr>
      <w:r/>
      <w:r>
        <w:rPr>
          <w:b/>
          <w:sz w:val="22"/>
          <w:shd w:fill="FFFFFF" w:val="clear"/>
        </w:rPr>
        <w:t>Характеристика объекта недвижимого имущества.</w:t>
      </w:r>
    </w:p>
    <w:p>
      <w:pPr>
        <w:pStyle w:val="Normal"/>
        <w:widowControl w:val="false"/>
        <w:tabs>
          <w:tab w:val="clear" w:pos="720"/>
          <w:tab w:val="left" w:pos="284" w:leader="none"/>
        </w:tabs>
        <w:ind w:firstLine="709" w:left="0" w:right="0"/>
        <w:jc w:val="both"/>
        <w:rPr>
          <w:b/>
          <w:highlight w:val="none"/>
          <w:shd w:fill="FFFFFF" w:val="clear"/>
        </w:rPr>
      </w:pPr>
      <w:r>
        <w:rPr>
          <w:b/>
          <w:shd w:fill="FFFFFF" w:val="clear"/>
        </w:rPr>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none"/>
                <w:shd w:fill="FFFFFF" w:val="clear"/>
              </w:rPr>
            </w:pPr>
            <w:r>
              <w:rPr>
                <w:b w:val="false"/>
                <w:kern w:val="0"/>
                <w:sz w:val="22"/>
                <w:szCs w:val="20"/>
                <w:shd w:fill="FFFFFF" w:val="clear"/>
              </w:rPr>
              <w:t>насосная</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none"/>
                <w:shd w:fill="FFFFFF" w:val="clear"/>
              </w:rPr>
            </w:pPr>
            <w:r>
              <w:rPr>
                <w:kern w:val="0"/>
                <w:sz w:val="22"/>
                <w:szCs w:val="20"/>
                <w:shd w:fill="FFFFFF" w:val="clear"/>
              </w:rPr>
              <w:t>П12260001639</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none"/>
                <w:shd w:fill="FFFFFF" w:val="clear"/>
              </w:rPr>
            </w:pPr>
            <w:r>
              <w:rPr>
                <w:kern w:val="0"/>
                <w:sz w:val="22"/>
                <w:szCs w:val="20"/>
                <w:shd w:fill="FFFFFF" w:val="clear"/>
              </w:rPr>
              <w:t>59:07:0000000:3413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highlight w:val="none"/>
                <w:shd w:fill="FFFFFF" w:val="clear"/>
              </w:rPr>
            </w:pPr>
            <w:r>
              <w:rPr>
                <w:kern w:val="0"/>
                <w:sz w:val="22"/>
                <w:szCs w:val="20"/>
                <w:shd w:fill="FFFFFF" w:val="clear"/>
              </w:rPr>
              <w:t>13.3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uppressAutoHyphens w:val="true"/>
              <w:jc w:val="left"/>
              <w:rPr>
                <w:sz w:val="22"/>
                <w:highlight w:val="none"/>
                <w:shd w:fill="FFFFFF" w:val="clear"/>
              </w:rPr>
            </w:pPr>
            <w:r>
              <w:rPr>
                <w:kern w:val="0"/>
                <w:sz w:val="22"/>
                <w:szCs w:val="20"/>
                <w:shd w:fill="FFFFFF" w:val="clear"/>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Государственная регистрация права собственности от 09.12.2011 № 59-59-01/016/2011-119;</w:t>
            </w:r>
          </w:p>
        </w:tc>
      </w:tr>
    </w:tbl>
    <w:p>
      <w:pPr>
        <w:pStyle w:val="Normal"/>
        <w:widowControl w:val="false"/>
        <w:tabs>
          <w:tab w:val="clear" w:pos="720"/>
          <w:tab w:val="left" w:pos="2481" w:leader="none"/>
        </w:tabs>
        <w:jc w:val="center"/>
        <w:rPr>
          <w:highlight w:val="none"/>
          <w:shd w:fill="FFFFFF" w:val="clear"/>
        </w:rPr>
      </w:pPr>
      <w:r/>
      <w:r>
        <w:rPr>
          <w:b/>
          <w:sz w:val="22"/>
          <w:shd w:fill="FFFFFF" w:val="clear"/>
        </w:rPr>
        <w:t>Характеристика объекта недвижимого имущества.</w:t>
      </w:r>
    </w:p>
    <w:p>
      <w:pPr>
        <w:pStyle w:val="Normal"/>
        <w:widowControl w:val="false"/>
        <w:tabs>
          <w:tab w:val="clear" w:pos="720"/>
          <w:tab w:val="left" w:pos="284" w:leader="none"/>
        </w:tabs>
        <w:ind w:firstLine="709" w:left="0" w:right="0"/>
        <w:jc w:val="both"/>
        <w:rPr>
          <w:b/>
          <w:highlight w:val="none"/>
          <w:shd w:fill="FFFFFF" w:val="clear"/>
        </w:rPr>
      </w:pPr>
      <w:r>
        <w:rPr>
          <w:b/>
          <w:shd w:fill="FFFFFF" w:val="clear"/>
        </w:rPr>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b w:val="false"/>
                <w:kern w:val="0"/>
                <w:sz w:val="22"/>
                <w:szCs w:val="20"/>
                <w:highlight w:val="white"/>
              </w:rPr>
              <w:t>здание бытовых помещений с пристроями</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П12260001634</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59:07:0000000:3410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highlight w:val="white"/>
              </w:rPr>
            </w:pPr>
            <w:r>
              <w:rPr>
                <w:kern w:val="0"/>
                <w:sz w:val="22"/>
                <w:szCs w:val="20"/>
                <w:highlight w:val="white"/>
              </w:rPr>
              <w:t>202.5</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uppressAutoHyphens w:val="true"/>
              <w:jc w:val="left"/>
              <w:rPr>
                <w:sz w:val="22"/>
                <w:highlight w:val="white"/>
              </w:rPr>
            </w:pPr>
            <w:r>
              <w:rPr>
                <w:kern w:val="0"/>
                <w:sz w:val="22"/>
                <w:szCs w:val="20"/>
                <w:highlight w:val="white"/>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Государственная регистрация права собственности от 07.12.2011 № 59-59-01/016/2011-112;</w:t>
            </w:r>
          </w:p>
        </w:tc>
      </w:tr>
    </w:tbl>
    <w:p>
      <w:pPr>
        <w:pStyle w:val="Normal"/>
        <w:widowControl w:val="false"/>
        <w:tabs>
          <w:tab w:val="clear" w:pos="720"/>
          <w:tab w:val="left" w:pos="2481" w:leader="none"/>
        </w:tabs>
        <w:jc w:val="center"/>
        <w:rPr>
          <w:highlight w:val="none"/>
          <w:shd w:fill="FFFFFF" w:val="clear"/>
        </w:rPr>
      </w:pPr>
      <w:r/>
      <w:r>
        <w:rPr>
          <w:b/>
          <w:sz w:val="22"/>
          <w:shd w:fill="FFFFFF" w:val="clear"/>
        </w:rPr>
        <w:t>Характеристика объекта недвижимого имущества.</w:t>
      </w:r>
    </w:p>
    <w:p>
      <w:pPr>
        <w:pStyle w:val="Normal"/>
        <w:widowControl w:val="false"/>
        <w:tabs>
          <w:tab w:val="clear" w:pos="720"/>
          <w:tab w:val="left" w:pos="284" w:leader="none"/>
        </w:tabs>
        <w:ind w:firstLine="709" w:left="0" w:right="0"/>
        <w:jc w:val="both"/>
        <w:rPr>
          <w:b/>
          <w:highlight w:val="none"/>
          <w:shd w:fill="FFFFFF" w:val="clear"/>
        </w:rPr>
      </w:pPr>
      <w:r>
        <w:rPr>
          <w:b/>
          <w:shd w:fill="FFFFFF" w:val="clear"/>
        </w:rPr>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b w:val="false"/>
                <w:kern w:val="0"/>
                <w:sz w:val="22"/>
                <w:szCs w:val="20"/>
                <w:highlight w:val="white"/>
              </w:rPr>
              <w:t>склад</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П12260001641</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59:07:0540101:284</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highlight w:val="white"/>
              </w:rPr>
            </w:pPr>
            <w:r>
              <w:rPr>
                <w:kern w:val="0"/>
                <w:sz w:val="22"/>
                <w:szCs w:val="20"/>
                <w:highlight w:val="white"/>
              </w:rPr>
              <w:t>47.7</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uppressAutoHyphens w:val="true"/>
              <w:jc w:val="left"/>
              <w:rPr>
                <w:sz w:val="22"/>
                <w:highlight w:val="white"/>
              </w:rPr>
            </w:pPr>
            <w:r>
              <w:rPr>
                <w:kern w:val="0"/>
                <w:sz w:val="22"/>
                <w:szCs w:val="20"/>
                <w:highlight w:val="white"/>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Государственная регистрация права собственности от 14.12.2010 № 59-59-01/009/2010-746;</w:t>
            </w:r>
          </w:p>
        </w:tc>
      </w:tr>
    </w:tbl>
    <w:p>
      <w:pPr>
        <w:pStyle w:val="Normal"/>
        <w:widowControl w:val="false"/>
        <w:tabs>
          <w:tab w:val="clear" w:pos="720"/>
          <w:tab w:val="left" w:pos="2481" w:leader="none"/>
        </w:tabs>
        <w:jc w:val="center"/>
        <w:rPr>
          <w:highlight w:val="none"/>
          <w:shd w:fill="FFFFFF" w:val="clear"/>
        </w:rPr>
      </w:pPr>
      <w:r/>
      <w:r>
        <w:rPr>
          <w:b/>
          <w:sz w:val="22"/>
          <w:shd w:fill="FFFFFF" w:val="clear"/>
        </w:rPr>
        <w:t>Характеристика объекта недвижимого имущества.</w:t>
      </w:r>
    </w:p>
    <w:p>
      <w:pPr>
        <w:pStyle w:val="Normal"/>
        <w:widowControl w:val="false"/>
        <w:tabs>
          <w:tab w:val="clear" w:pos="720"/>
          <w:tab w:val="left" w:pos="284" w:leader="none"/>
        </w:tabs>
        <w:ind w:firstLine="709" w:left="0" w:right="0"/>
        <w:jc w:val="both"/>
        <w:rPr>
          <w:b/>
          <w:highlight w:val="none"/>
          <w:shd w:fill="FFFFFF" w:val="clear"/>
        </w:rPr>
      </w:pPr>
      <w:r>
        <w:rPr>
          <w:b/>
          <w:shd w:fill="FFFFFF" w:val="clear"/>
        </w:rPr>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b w:val="false"/>
                <w:kern w:val="0"/>
                <w:sz w:val="22"/>
                <w:szCs w:val="20"/>
                <w:highlight w:val="white"/>
              </w:rPr>
              <w:t>здание цеха наполнения с платформой</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П12260001636</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highlight w:val="white"/>
              </w:rPr>
            </w:pPr>
            <w:r>
              <w:rPr>
                <w:kern w:val="0"/>
                <w:sz w:val="22"/>
                <w:szCs w:val="20"/>
                <w:highlight w:val="white"/>
              </w:rPr>
              <w:t>59:07:0000000:3415</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highlight w:val="white"/>
              </w:rPr>
            </w:pPr>
            <w:r>
              <w:rPr>
                <w:kern w:val="0"/>
                <w:sz w:val="22"/>
                <w:szCs w:val="20"/>
                <w:highlight w:val="white"/>
              </w:rPr>
              <w:t>77</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uppressAutoHyphens w:val="true"/>
              <w:jc w:val="left"/>
              <w:rPr>
                <w:sz w:val="22"/>
                <w:highlight w:val="white"/>
              </w:rPr>
            </w:pPr>
            <w:r>
              <w:rPr>
                <w:kern w:val="0"/>
                <w:sz w:val="22"/>
                <w:szCs w:val="20"/>
                <w:highlight w:val="white"/>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Государственная регистрация права собственности от 09.12.2011 № 59-59-01/016/2011-114;</w:t>
            </w:r>
          </w:p>
        </w:tc>
      </w:tr>
    </w:tbl>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84" w:leader="none"/>
        </w:tabs>
        <w:ind w:firstLine="709" w:left="0" w:right="0"/>
        <w:jc w:val="both"/>
        <w:rPr>
          <w:b/>
          <w:highlight w:val="none"/>
          <w:shd w:fill="FFFFFF" w:val="clear"/>
        </w:rPr>
      </w:pPr>
      <w:r>
        <w:rPr>
          <w:b/>
          <w:shd w:fill="FFFFFF" w:val="clear"/>
        </w:rPr>
      </w:r>
    </w:p>
    <w:p>
      <w:pPr>
        <w:pStyle w:val="BodyText211"/>
        <w:widowControl w:val="false"/>
        <w:tabs>
          <w:tab w:val="clear" w:pos="284"/>
        </w:tabs>
        <w:ind w:firstLine="709" w:left="0" w:right="0"/>
        <w:rPr>
          <w:highlight w:val="none"/>
          <w:shd w:fill="FFFFFF" w:val="clear"/>
        </w:rPr>
      </w:pPr>
      <w:r>
        <w:rPr>
          <w:b/>
          <w:sz w:val="24"/>
          <w:shd w:fill="FFFFFF" w:val="clear"/>
        </w:rPr>
        <w:t xml:space="preserve">3.7. Начальная цена (лота) – </w:t>
      </w:r>
      <w:r>
        <w:rPr>
          <w:b w:val="false"/>
          <w:sz w:val="24"/>
          <w:shd w:fill="FFFFFF" w:val="clear"/>
        </w:rPr>
        <w:t xml:space="preserve">9 361 000 (девять миллионов триста шестьдесят одна тысяча) </w:t>
      </w:r>
      <w:r>
        <w:rPr>
          <w:sz w:val="24"/>
          <w:shd w:fill="FFFFFF" w:val="clear"/>
        </w:rPr>
        <w:t>рублей 00 копеек, c учетом НДС</w:t>
      </w:r>
      <w:r>
        <w:rPr>
          <w:color w:val="000000"/>
          <w:sz w:val="24"/>
          <w:shd w:fill="FFFFFF" w:val="clear"/>
        </w:rPr>
        <w:t>.</w:t>
      </w:r>
    </w:p>
    <w:p>
      <w:pPr>
        <w:pStyle w:val="BodyText211"/>
        <w:widowControl w:val="false"/>
        <w:tabs>
          <w:tab w:val="clear" w:pos="284"/>
        </w:tabs>
        <w:ind w:firstLine="709" w:left="0" w:right="0"/>
        <w:rPr>
          <w:highlight w:val="none"/>
          <w:shd w:fill="FFFFFF" w:val="clear"/>
        </w:rPr>
      </w:pPr>
      <w:r>
        <w:rPr>
          <w:b/>
          <w:sz w:val="24"/>
          <w:shd w:fill="FFFFFF" w:val="clear"/>
        </w:rPr>
        <w:t xml:space="preserve">3.8. Шаг аукциона (величина повышения цены) – </w:t>
      </w:r>
      <w:r>
        <w:rPr>
          <w:sz w:val="24"/>
          <w:shd w:fill="FFFFFF" w:val="clear"/>
        </w:rPr>
        <w:t>468 050 (четыреста шестьдесят восемь тысяч пятьдесят) рублей 00 копеек.</w:t>
      </w:r>
    </w:p>
    <w:p>
      <w:pPr>
        <w:pStyle w:val="BodyText211"/>
        <w:widowControl w:val="false"/>
        <w:tabs>
          <w:tab w:val="clear" w:pos="284"/>
        </w:tabs>
        <w:ind w:firstLine="709" w:left="0" w:right="0"/>
        <w:rPr>
          <w:highlight w:val="none"/>
          <w:shd w:fill="FFFFFF" w:val="clear"/>
        </w:rPr>
      </w:pPr>
      <w:r>
        <w:rPr>
          <w:b/>
          <w:sz w:val="24"/>
          <w:shd w:fill="FFFFFF" w:val="clear"/>
        </w:rPr>
        <w:t>3.9. Размер задатка –</w:t>
      </w:r>
      <w:r>
        <w:rPr>
          <w:b w:val="false"/>
          <w:sz w:val="24"/>
          <w:shd w:fill="FFFFFF" w:val="clear"/>
        </w:rPr>
        <w:t xml:space="preserve">  </w:t>
      </w:r>
      <w:r>
        <w:rPr>
          <w:sz w:val="24"/>
          <w:shd w:fill="FFFFFF" w:val="clear"/>
        </w:rPr>
        <w:t>936 100 (девятьсот тридцать шесть тысяч сто)  рублей 00 копеек, без учета НДС.</w:t>
      </w:r>
    </w:p>
    <w:p>
      <w:pPr>
        <w:pStyle w:val="BodyText211"/>
        <w:widowControl w:val="false"/>
        <w:tabs>
          <w:tab w:val="clear" w:pos="284"/>
        </w:tabs>
        <w:ind w:firstLine="709" w:left="0" w:right="0"/>
        <w:rPr>
          <w:highlight w:val="none"/>
          <w:shd w:fill="FFFFFF" w:val="clear"/>
        </w:rPr>
      </w:pPr>
      <w:r>
        <w:rPr>
          <w:b/>
          <w:sz w:val="24"/>
          <w:shd w:fill="FFFFFF" w:val="clear"/>
        </w:rPr>
        <w:t>3.10. Срок внесения задатка –</w:t>
      </w:r>
      <w:r>
        <w:rPr>
          <w:sz w:val="24"/>
          <w:shd w:fill="FFFFFF" w:val="clear"/>
        </w:rPr>
        <w:t xml:space="preserve"> с 16.06.2026 по 12.07.2026 и должен поступить на указанный в информационном сообщении счет продавца не позднее 15.07.2026.</w:t>
      </w:r>
    </w:p>
    <w:p>
      <w:pPr>
        <w:pStyle w:val="BodyText211"/>
        <w:widowControl w:val="false"/>
        <w:ind w:firstLine="709" w:left="0" w:right="0"/>
        <w:rPr>
          <w:highlight w:val="none"/>
          <w:shd w:fill="FFFFFF" w:val="clear"/>
        </w:rPr>
      </w:pPr>
      <w:r>
        <w:rPr>
          <w:b/>
          <w:sz w:val="24"/>
          <w:shd w:fill="FFFFFF" w:val="clear"/>
        </w:rPr>
        <w:t>3.11. Сведения о предыдущих торгах по продаже имущества, объявленных                                  в течение года, предшествующего его продаже.</w:t>
      </w:r>
    </w:p>
    <w:p>
      <w:pPr>
        <w:pStyle w:val="BodyText211"/>
        <w:widowControl w:val="false"/>
        <w:ind w:firstLine="709" w:left="0" w:right="0"/>
        <w:rPr>
          <w:highlight w:val="none"/>
          <w:shd w:fill="FFFFFF" w:val="clear"/>
        </w:rPr>
      </w:pPr>
      <w:r>
        <w:rPr>
          <w:sz w:val="24"/>
          <w:shd w:fill="FFFFFF" w:val="clear"/>
        </w:rPr>
        <w:t>Росимуществом ранее торги не проводились.</w:t>
      </w:r>
    </w:p>
    <w:p>
      <w:pPr>
        <w:pStyle w:val="BodyText211"/>
        <w:widowControl w:val="false"/>
        <w:ind w:hanging="0" w:left="0" w:right="0"/>
        <w:rPr>
          <w:highlight w:val="none"/>
          <w:shd w:fill="FFFFFF" w:val="clear"/>
        </w:rPr>
      </w:pPr>
      <w:r>
        <w:rPr>
          <w:shd w:fill="FFFFFF" w:val="clear"/>
        </w:rPr>
      </w:r>
    </w:p>
    <w:p>
      <w:pPr>
        <w:pStyle w:val="Normal"/>
        <w:widowControl w:val="false"/>
        <w:tabs>
          <w:tab w:val="clear" w:pos="720"/>
          <w:tab w:val="left" w:pos="0" w:leader="none"/>
        </w:tabs>
        <w:ind w:firstLine="709" w:left="0" w:right="0"/>
        <w:jc w:val="center"/>
        <w:rPr>
          <w:highlight w:val="none"/>
          <w:shd w:fill="FFFFFF" w:val="clear"/>
        </w:rPr>
      </w:pPr>
      <w:r>
        <w:rPr>
          <w:rFonts w:ascii="TimesNewRoman,Bold" w:hAnsi="TimesNewRoman,Bold"/>
          <w:b/>
          <w:color w:val="000000"/>
          <w:shd w:fill="FFFFFF" w:val="clear"/>
        </w:rPr>
        <w:t>4. Место, сроки подачи (приема) заявок, определения участников и проведения</w:t>
      </w:r>
    </w:p>
    <w:p>
      <w:pPr>
        <w:pStyle w:val="Normal"/>
        <w:widowControl w:val="false"/>
        <w:ind w:firstLine="709" w:left="0" w:right="0"/>
        <w:jc w:val="center"/>
        <w:rPr>
          <w:highlight w:val="none"/>
          <w:shd w:fill="FFFFFF" w:val="clear"/>
        </w:rPr>
      </w:pPr>
      <w:r>
        <w:rPr>
          <w:rFonts w:ascii="TimesNewRoman,Bold" w:hAnsi="TimesNewRoman,Bold"/>
          <w:b/>
          <w:color w:val="000000"/>
          <w:shd w:fill="FFFFFF" w:val="clear"/>
        </w:rPr>
        <w:t>аукциона</w:t>
      </w:r>
    </w:p>
    <w:p>
      <w:pPr>
        <w:pStyle w:val="Normal"/>
        <w:widowControl w:val="false"/>
        <w:ind w:firstLine="709" w:left="0" w:right="0"/>
        <w:jc w:val="center"/>
        <w:rPr>
          <w:rFonts w:ascii="TimesNewRoman,Bold" w:hAnsi="TimesNewRoman,Bold"/>
          <w:b/>
          <w:color w:val="000000"/>
          <w:highlight w:val="none"/>
          <w:shd w:fill="FFFFFF" w:val="clear"/>
        </w:rPr>
      </w:pPr>
      <w:r>
        <w:rPr>
          <w:rFonts w:ascii="TimesNewRoman,Bold" w:hAnsi="TimesNewRoman,Bold"/>
          <w:b/>
          <w:color w:val="000000"/>
          <w:shd w:fill="FFFFFF" w:val="clear"/>
        </w:rPr>
      </w:r>
    </w:p>
    <w:p>
      <w:pPr>
        <w:pStyle w:val="Normal"/>
        <w:widowControl w:val="false"/>
        <w:ind w:firstLine="709" w:left="0" w:right="0"/>
        <w:jc w:val="both"/>
        <w:rPr>
          <w:highlight w:val="none"/>
          <w:shd w:fill="FFFFFF" w:val="clear"/>
        </w:rPr>
      </w:pPr>
      <w:r>
        <w:rPr>
          <w:rFonts w:ascii="TimesNewRoman,Bold" w:hAnsi="TimesNewRoman,Bold"/>
          <w:b/>
          <w:shd w:fill="FFFFFF" w:val="clear"/>
        </w:rPr>
        <w:t>4.1. Место подачи (приема) Заявок:</w:t>
      </w:r>
      <w:r>
        <w:rPr>
          <w:rFonts w:ascii="TimesNewRoman" w:hAnsi="TimesNewRoman"/>
          <w:b/>
          <w:shd w:fill="FFFFFF" w:val="clear"/>
        </w:rPr>
        <w:t xml:space="preserve"> </w:t>
      </w:r>
      <w:r>
        <w:rPr>
          <w:shd w:fill="FFFFFF" w:val="clear"/>
        </w:rPr>
        <w:t>http://www.rts-tender.ru /.</w:t>
      </w:r>
    </w:p>
    <w:p>
      <w:pPr>
        <w:pStyle w:val="Normal"/>
        <w:widowControl w:val="false"/>
        <w:ind w:firstLine="709" w:left="0" w:right="0"/>
        <w:jc w:val="both"/>
        <w:rPr>
          <w:highlight w:val="none"/>
          <w:shd w:fill="FFFFFF" w:val="clear"/>
        </w:rPr>
      </w:pPr>
      <w:r>
        <w:rPr>
          <w:b/>
          <w:shd w:fill="FFFFFF" w:val="clear"/>
        </w:rPr>
        <w:t>4.2. Дата и время начала подачи (приема) Заявок:</w:t>
      </w:r>
      <w:r>
        <w:rPr>
          <w:shd w:fill="FFFFFF" w:val="clear"/>
        </w:rPr>
        <w:t xml:space="preserve"> 16.06.2026 г. в 16.00                             по московскому времени. </w:t>
      </w:r>
    </w:p>
    <w:p>
      <w:pPr>
        <w:pStyle w:val="Normal"/>
        <w:widowControl w:val="false"/>
        <w:ind w:firstLine="709" w:left="0" w:right="0"/>
        <w:jc w:val="both"/>
        <w:rPr>
          <w:highlight w:val="none"/>
          <w:shd w:fill="FFFFFF" w:val="clear"/>
        </w:rPr>
      </w:pPr>
      <w:r>
        <w:rPr>
          <w:shd w:fill="FFFFFF" w:val="clear"/>
        </w:rPr>
        <w:t>Подача Заявок осуществляется круглосуточно.</w:t>
      </w:r>
    </w:p>
    <w:p>
      <w:pPr>
        <w:pStyle w:val="Normal"/>
        <w:widowControl w:val="false"/>
        <w:ind w:firstLine="709" w:left="0" w:right="0"/>
        <w:jc w:val="both"/>
        <w:rPr>
          <w:highlight w:val="none"/>
          <w:shd w:fill="FFFFFF" w:val="clear"/>
        </w:rPr>
      </w:pPr>
      <w:r>
        <w:rPr>
          <w:b/>
          <w:shd w:fill="FFFFFF" w:val="clear"/>
        </w:rPr>
        <w:t>4.3. Дата и время окончания подачи (приема) Заявок:</w:t>
      </w:r>
      <w:r>
        <w:rPr>
          <w:shd w:fill="FFFFFF" w:val="clear"/>
        </w:rPr>
        <w:t xml:space="preserve"> 12.07.2026 г. в 16.00                       по московскому времени.</w:t>
      </w:r>
    </w:p>
    <w:p>
      <w:pPr>
        <w:pStyle w:val="Normal"/>
        <w:widowControl w:val="false"/>
        <w:ind w:firstLine="709" w:left="0" w:right="0"/>
        <w:jc w:val="both"/>
        <w:rPr>
          <w:highlight w:val="none"/>
          <w:shd w:fill="FFFFFF" w:val="clear"/>
        </w:rPr>
      </w:pPr>
      <w:r>
        <w:rPr>
          <w:b/>
          <w:shd w:fill="FFFFFF" w:val="clear"/>
        </w:rPr>
        <w:t>4.4. Дата определения Участников:</w:t>
      </w:r>
      <w:r>
        <w:rPr>
          <w:shd w:fill="FFFFFF" w:val="clear"/>
        </w:rPr>
        <w:t xml:space="preserve"> 16.07.2026 г. </w:t>
      </w:r>
    </w:p>
    <w:p>
      <w:pPr>
        <w:pStyle w:val="Normal"/>
        <w:widowControl w:val="false"/>
        <w:ind w:firstLine="709" w:left="0" w:right="0"/>
        <w:jc w:val="both"/>
        <w:rPr>
          <w:highlight w:val="none"/>
          <w:shd w:fill="FFFFFF" w:val="clear"/>
        </w:rPr>
      </w:pPr>
      <w:r>
        <w:rPr>
          <w:b/>
          <w:shd w:fill="FFFFFF" w:val="clear"/>
        </w:rPr>
        <w:t xml:space="preserve">4.5. </w:t>
      </w:r>
      <w:r>
        <w:rPr>
          <w:b/>
          <w:color w:val="000000"/>
          <w:shd w:fill="FFFFFF" w:val="clear"/>
        </w:rPr>
        <w:t>Дата, время и срок проведения аукциона</w:t>
      </w:r>
      <w:r>
        <w:rPr>
          <w:b/>
          <w:shd w:fill="FFFFFF" w:val="clear"/>
        </w:rPr>
        <w:t>:</w:t>
      </w:r>
      <w:r>
        <w:rPr>
          <w:shd w:fill="FFFFFF" w:val="clear"/>
        </w:rPr>
        <w:t xml:space="preserve"> 17.07.2026 г. в 09.00 по московскому времени и до последнего предложения Участников.</w:t>
      </w:r>
    </w:p>
    <w:p>
      <w:pPr>
        <w:pStyle w:val="BodyText211"/>
        <w:widowControl w:val="false"/>
        <w:tabs>
          <w:tab w:val="clear" w:pos="284"/>
        </w:tabs>
        <w:ind w:firstLine="709" w:left="0" w:right="0"/>
        <w:rPr>
          <w:b/>
          <w:i/>
          <w:i/>
          <w:highlight w:val="none"/>
          <w:shd w:fill="FFFFFF" w:val="clear"/>
        </w:rPr>
      </w:pPr>
      <w:r>
        <w:rPr>
          <w:b/>
          <w:i/>
          <w:shd w:fill="FFFFFF" w:val="clear"/>
        </w:rPr>
      </w:r>
    </w:p>
    <w:p>
      <w:pPr>
        <w:pStyle w:val="Normal"/>
        <w:widowControl w:val="false"/>
        <w:spacing w:before="0" w:after="0"/>
        <w:ind w:firstLine="709" w:left="0" w:right="0"/>
        <w:contextualSpacing/>
        <w:jc w:val="center"/>
        <w:rPr>
          <w:highlight w:val="none"/>
          <w:shd w:fill="FFFFFF" w:val="clear"/>
        </w:rPr>
      </w:pPr>
      <w:r>
        <w:rPr>
          <w:b/>
          <w:shd w:fill="FFFFFF" w:val="clear"/>
        </w:rPr>
        <w:t>5. Срок и порядок регистрации на электронной площадке</w:t>
      </w:r>
    </w:p>
    <w:p>
      <w:pPr>
        <w:pStyle w:val="BodyText211"/>
        <w:widowControl w:val="false"/>
        <w:ind w:firstLine="709" w:left="0" w:right="0"/>
        <w:rPr>
          <w:highlight w:val="none"/>
          <w:shd w:fill="FFFFFF" w:val="clear"/>
        </w:rPr>
      </w:pPr>
      <w:r>
        <w:rPr>
          <w:shd w:fill="FFFFFF" w:val="clea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highlight w:val="none"/>
          <w:shd w:fill="FFFFFF" w:val="clear"/>
        </w:rPr>
      </w:pPr>
      <w:r>
        <w:rPr>
          <w:shd w:fill="FFFFFF" w:val="clea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highlight w:val="none"/>
          <w:shd w:fill="FFFFFF" w:val="clear"/>
        </w:rPr>
      </w:pPr>
      <w:r>
        <w:rPr>
          <w:shd w:fill="FFFFFF" w:val="clear"/>
        </w:rPr>
        <w:t>5.3. Регистрация на электронной площадке осуществляется без взимания платы.</w:t>
      </w:r>
    </w:p>
    <w:p>
      <w:pPr>
        <w:pStyle w:val="Normal"/>
        <w:widowControl w:val="false"/>
        <w:ind w:firstLine="709" w:left="0" w:right="0"/>
        <w:jc w:val="both"/>
        <w:rPr>
          <w:highlight w:val="none"/>
          <w:shd w:fill="FFFFFF" w:val="clear"/>
        </w:rPr>
      </w:pPr>
      <w:r>
        <w:rPr>
          <w:shd w:fill="FFFFFF" w:val="clea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
        <w:widowControl w:val="false"/>
        <w:ind w:firstLine="709" w:left="0" w:right="0"/>
        <w:rPr>
          <w:highlight w:val="none"/>
          <w:shd w:fill="FFFFFF" w:val="clear"/>
        </w:rPr>
      </w:pPr>
      <w:r>
        <w:rPr>
          <w:shd w:fill="FFFFFF" w:val="clea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
        <w:widowControl w:val="false"/>
        <w:tabs>
          <w:tab w:val="clear" w:pos="284"/>
        </w:tabs>
        <w:ind w:firstLine="851" w:left="0" w:right="0"/>
        <w:rPr>
          <w:b/>
          <w:i/>
          <w:i/>
          <w:highlight w:val="none"/>
          <w:shd w:fill="FFFFFF" w:val="clear"/>
        </w:rPr>
      </w:pPr>
      <w:r>
        <w:rPr>
          <w:b/>
          <w:i/>
          <w:shd w:fill="FFFFFF" w:val="clear"/>
        </w:rPr>
      </w:r>
    </w:p>
    <w:p>
      <w:pPr>
        <w:pStyle w:val="BodyText211"/>
        <w:widowControl w:val="false"/>
        <w:numPr>
          <w:ilvl w:val="0"/>
          <w:numId w:val="3"/>
        </w:numPr>
        <w:tabs>
          <w:tab w:val="clear" w:pos="284"/>
        </w:tabs>
        <w:ind w:firstLine="851" w:left="0" w:right="0"/>
        <w:jc w:val="center"/>
        <w:rPr>
          <w:highlight w:val="none"/>
          <w:shd w:fill="FFFFFF" w:val="clear"/>
        </w:rPr>
      </w:pPr>
      <w:r>
        <w:rPr>
          <w:b/>
          <w:shd w:fill="FFFFFF" w:val="clear"/>
        </w:rPr>
        <w:t>Порядок подачи (приема) и отзыва заявок</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shd w:fill="FFFFFF" w:val="clea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46"/>
            <w:shd w:fill="FFFFFF" w:val="clear"/>
          </w:rPr>
          <w:t>законом</w:t>
        </w:r>
      </w:hyperlink>
      <w:r>
        <w:rPr>
          <w:shd w:fill="FFFFFF" w:val="clea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
        <w:widowControl w:val="false"/>
        <w:ind w:firstLine="709" w:left="0" w:right="0"/>
        <w:rPr>
          <w:highlight w:val="none"/>
          <w:shd w:fill="FFFFFF" w:val="clear"/>
        </w:rPr>
      </w:pPr>
      <w:r>
        <w:rPr>
          <w:shd w:fill="FFFFFF" w:val="clea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
        <w:widowControl w:val="false"/>
        <w:ind w:firstLine="709" w:left="0" w:right="0"/>
        <w:rPr>
          <w:highlight w:val="none"/>
          <w:shd w:fill="FFFFFF" w:val="clear"/>
        </w:rPr>
      </w:pPr>
      <w:r>
        <w:rPr>
          <w:shd w:fill="FFFFFF" w:val="clea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
        <w:widowControl w:val="false"/>
        <w:ind w:firstLine="709" w:left="0" w:right="0"/>
        <w:rPr>
          <w:highlight w:val="none"/>
          <w:shd w:fill="FFFFFF" w:val="clear"/>
        </w:rPr>
      </w:pPr>
      <w:r>
        <w:rPr>
          <w:shd w:fill="FFFFFF" w:val="clea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
        <w:widowControl w:val="false"/>
        <w:ind w:firstLine="709" w:left="0" w:right="0"/>
        <w:rPr>
          <w:highlight w:val="none"/>
          <w:shd w:fill="FFFFFF" w:val="clear"/>
        </w:rPr>
      </w:pPr>
      <w:r>
        <w:rPr>
          <w:shd w:fill="FFFFFF" w:val="clea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
        <w:widowControl w:val="false"/>
        <w:ind w:firstLine="709" w:left="0" w:right="0"/>
        <w:rPr>
          <w:highlight w:val="none"/>
          <w:shd w:fill="FFFFFF" w:val="clear"/>
        </w:rPr>
      </w:pPr>
      <w:r>
        <w:rPr>
          <w:shd w:fill="FFFFFF" w:val="clear"/>
        </w:rPr>
        <w:t xml:space="preserve">6.10. </w:t>
      </w:r>
      <w:r>
        <w:rPr>
          <w:rFonts w:ascii="TimesNewRoman" w:hAnsi="TimesNewRoman"/>
          <w:shd w:fill="FFFFFF" w:val="clear"/>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
        <w:widowControl w:val="false"/>
        <w:ind w:firstLine="709" w:left="0" w:right="0"/>
        <w:rPr>
          <w:rFonts w:ascii="TimesNewRoman" w:hAnsi="TimesNewRoman"/>
          <w:highlight w:val="none"/>
          <w:shd w:fill="FFFFFF" w:val="clear"/>
        </w:rPr>
      </w:pPr>
      <w:r>
        <w:rPr>
          <w:rFonts w:ascii="TimesNewRoman" w:hAnsi="TimesNewRoman"/>
          <w:shd w:fill="FFFFFF" w:val="clear"/>
        </w:rPr>
      </w:r>
    </w:p>
    <w:p>
      <w:pPr>
        <w:pStyle w:val="BodyText211"/>
        <w:widowControl w:val="false"/>
        <w:ind w:firstLine="709" w:left="0" w:right="0"/>
        <w:rPr>
          <w:rFonts w:ascii="TimesNewRoman" w:hAnsi="TimesNewRoman"/>
          <w:highlight w:val="none"/>
          <w:shd w:fill="FFFFFF" w:val="clear"/>
        </w:rPr>
      </w:pPr>
      <w:r>
        <w:rPr>
          <w:rFonts w:ascii="TimesNewRoman" w:hAnsi="TimesNewRoman"/>
          <w:shd w:fill="FFFFFF" w:val="clear"/>
        </w:rPr>
      </w:r>
    </w:p>
    <w:p>
      <w:pPr>
        <w:pStyle w:val="BodyText211"/>
        <w:widowControl w:val="false"/>
        <w:ind w:firstLine="709" w:left="0" w:right="0"/>
        <w:rPr>
          <w:rFonts w:ascii="TimesNewRoman" w:hAnsi="TimesNewRoman"/>
          <w:highlight w:val="none"/>
          <w:shd w:fill="FFFFFF" w:val="clear"/>
        </w:rPr>
      </w:pPr>
      <w:r>
        <w:rPr>
          <w:rFonts w:ascii="TimesNewRoman" w:hAnsi="TimesNewRoman"/>
          <w:shd w:fill="FFFFFF" w:val="clear"/>
        </w:rPr>
      </w:r>
    </w:p>
    <w:p>
      <w:pPr>
        <w:pStyle w:val="BodyText211"/>
        <w:widowControl w:val="false"/>
        <w:numPr>
          <w:ilvl w:val="0"/>
          <w:numId w:val="3"/>
        </w:numPr>
        <w:tabs>
          <w:tab w:val="clear" w:pos="284"/>
        </w:tabs>
        <w:ind w:firstLine="851" w:left="0" w:right="0"/>
        <w:jc w:val="center"/>
        <w:rPr>
          <w:highlight w:val="none"/>
          <w:shd w:fill="FFFFFF" w:val="clear"/>
        </w:rPr>
      </w:pPr>
      <w:r>
        <w:rPr>
          <w:b/>
          <w:shd w:fill="FFFFFF" w:val="clear"/>
        </w:rPr>
        <w:t>Перечень документов представляемый участниками торгов и требования к их оформлению</w:t>
      </w:r>
    </w:p>
    <w:p>
      <w:pPr>
        <w:pStyle w:val="BodyText211"/>
        <w:widowControl w:val="false"/>
        <w:ind w:firstLine="709" w:left="0" w:right="0"/>
        <w:rPr>
          <w:highlight w:val="none"/>
          <w:shd w:fill="FFFFFF" w:val="clear"/>
        </w:rPr>
      </w:pPr>
      <w:r>
        <w:rPr>
          <w:rFonts w:ascii="TimesNewRoman" w:hAnsi="TimesNewRoman"/>
          <w:shd w:fill="FFFFFF" w:val="clear"/>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BodyText211"/>
        <w:widowControl w:val="false"/>
        <w:ind w:firstLine="709" w:left="0" w:right="0"/>
        <w:rPr>
          <w:highlight w:val="none"/>
          <w:shd w:fill="FFFFFF" w:val="clear"/>
        </w:rPr>
      </w:pPr>
      <w:r>
        <w:rPr>
          <w:rFonts w:ascii="TimesNewRoman" w:hAnsi="TimesNewRoman"/>
          <w:shd w:fill="FFFFFF" w:val="clear"/>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BodyText211"/>
        <w:widowControl w:val="false"/>
        <w:ind w:firstLine="709" w:left="0" w:right="0"/>
        <w:rPr>
          <w:highlight w:val="none"/>
          <w:shd w:fill="FFFFFF" w:val="clear"/>
        </w:rPr>
      </w:pPr>
      <w:r>
        <w:rPr>
          <w:rFonts w:ascii="TimesNewRoman" w:hAnsi="TimesNewRoman"/>
          <w:shd w:fill="FFFFFF" w:val="clear"/>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BodyText211"/>
        <w:widowControl w:val="false"/>
        <w:ind w:firstLine="709" w:left="0" w:right="0"/>
        <w:rPr>
          <w:highlight w:val="none"/>
          <w:shd w:fill="FFFFFF" w:val="clear"/>
        </w:rPr>
      </w:pPr>
      <w:r>
        <w:rPr>
          <w:rFonts w:ascii="TimesNewRoman" w:hAnsi="TimesNewRoman"/>
          <w:u w:val="single"/>
          <w:shd w:fill="FFFFFF" w:val="clear"/>
        </w:rPr>
        <w:t>7.1.2. юридические лица:</w:t>
      </w:r>
    </w:p>
    <w:p>
      <w:pPr>
        <w:pStyle w:val="Normal"/>
        <w:widowControl w:val="false"/>
        <w:ind w:firstLine="709" w:left="0" w:right="0"/>
        <w:jc w:val="both"/>
        <w:rPr>
          <w:highlight w:val="none"/>
          <w:shd w:fill="FFFFFF" w:val="clear"/>
        </w:rPr>
      </w:pPr>
      <w:r>
        <w:rPr>
          <w:shd w:fill="FFFFFF" w:val="clear"/>
        </w:rPr>
        <w:t>- заверенные копии учредительных документов;</w:t>
      </w:r>
    </w:p>
    <w:p>
      <w:pPr>
        <w:pStyle w:val="Normal"/>
        <w:widowControl w:val="false"/>
        <w:ind w:firstLine="709" w:left="0" w:right="0"/>
        <w:jc w:val="both"/>
        <w:rPr>
          <w:highlight w:val="none"/>
          <w:shd w:fill="FFFFFF" w:val="clear"/>
        </w:rPr>
      </w:pPr>
      <w:r>
        <w:rPr>
          <w:shd w:fill="FFFFFF" w:val="clea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highlight w:val="none"/>
          <w:shd w:fill="FFFFFF" w:val="clear"/>
        </w:rPr>
      </w:pPr>
      <w:r>
        <w:rPr>
          <w:shd w:fill="FFFFFF" w:val="clea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numPr>
          <w:ilvl w:val="0"/>
          <w:numId w:val="0"/>
        </w:numPr>
        <w:ind w:hanging="0" w:left="992" w:right="0"/>
        <w:jc w:val="both"/>
        <w:rPr>
          <w:highlight w:val="none"/>
          <w:shd w:fill="FFFFFF" w:val="clear"/>
        </w:rPr>
      </w:pPr>
      <w:r>
        <w:rPr>
          <w:b/>
          <w:shd w:fill="FFFFFF" w:val="clear"/>
        </w:rPr>
        <w:t>- Подписанное согласие на обработку персональных данных.</w:t>
      </w:r>
    </w:p>
    <w:p>
      <w:pPr>
        <w:pStyle w:val="Normal"/>
        <w:widowControl w:val="false"/>
        <w:ind w:firstLine="709" w:left="0" w:right="0"/>
        <w:jc w:val="both"/>
        <w:rPr>
          <w:highlight w:val="none"/>
          <w:shd w:fill="FFFFFF" w:val="clear"/>
        </w:rPr>
      </w:pPr>
      <w:r>
        <w:rPr>
          <w:u w:val="single"/>
          <w:shd w:fill="FFFFFF" w:val="clear"/>
        </w:rPr>
        <w:t>7.1.3. физические лица, в том числе индивидуальные предприниматели</w:t>
      </w:r>
      <w:r>
        <w:rPr>
          <w:shd w:fill="FFFFFF" w:val="clear"/>
        </w:rPr>
        <w:t xml:space="preserve"> </w:t>
      </w:r>
    </w:p>
    <w:p>
      <w:pPr>
        <w:pStyle w:val="Normal"/>
        <w:widowControl w:val="false"/>
        <w:ind w:firstLine="709" w:left="0" w:right="0"/>
        <w:jc w:val="both"/>
        <w:rPr>
          <w:highlight w:val="none"/>
          <w:shd w:fill="FFFFFF" w:val="clear"/>
        </w:rPr>
      </w:pPr>
      <w:r>
        <w:rPr>
          <w:shd w:fill="FFFFFF" w:val="clear"/>
        </w:rPr>
        <w:t>- документ, удостоверяющий личность (копии всех страниц);</w:t>
      </w:r>
    </w:p>
    <w:p>
      <w:pPr>
        <w:pStyle w:val="Normal"/>
        <w:widowControl w:val="false"/>
        <w:numPr>
          <w:ilvl w:val="0"/>
          <w:numId w:val="0"/>
        </w:numPr>
        <w:ind w:hanging="0" w:left="992" w:right="0"/>
        <w:jc w:val="both"/>
        <w:rPr>
          <w:highlight w:val="none"/>
          <w:shd w:fill="FFFFFF" w:val="clear"/>
        </w:rPr>
      </w:pPr>
      <w:r>
        <w:rPr>
          <w:b/>
          <w:shd w:fill="FFFFFF" w:val="clear"/>
        </w:rPr>
        <w:t>- Подписанное согласие на обработку персональных данных.</w:t>
      </w:r>
    </w:p>
    <w:p>
      <w:pPr>
        <w:pStyle w:val="Normal"/>
        <w:widowControl w:val="false"/>
        <w:ind w:firstLine="709" w:left="0" w:right="0"/>
        <w:jc w:val="both"/>
        <w:rPr>
          <w:highlight w:val="none"/>
          <w:shd w:fill="FFFFFF" w:val="clear"/>
        </w:rPr>
      </w:pPr>
      <w:r>
        <w:rPr>
          <w:shd w:fill="FFFFFF" w:val="clear"/>
        </w:rPr>
        <w:t>7.1.4. Опись представленных документов, подписанная претендентом или его уполномоченным представителем.</w:t>
      </w:r>
    </w:p>
    <w:p>
      <w:pPr>
        <w:pStyle w:val="Normal"/>
        <w:widowControl w:val="false"/>
        <w:ind w:firstLine="709" w:left="0" w:right="0"/>
        <w:jc w:val="both"/>
        <w:rPr>
          <w:highlight w:val="none"/>
          <w:shd w:fill="FFFFFF" w:val="clear"/>
        </w:rPr>
      </w:pPr>
      <w:r>
        <w:rPr>
          <w:shd w:fill="FFFFFF" w:val="clear"/>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highlight w:val="none"/>
          <w:shd w:fill="FFFFFF" w:val="clear"/>
        </w:rPr>
      </w:pPr>
      <w:r>
        <w:rPr>
          <w:shd w:fill="FFFFFF" w:val="clear"/>
        </w:rPr>
        <w:t>7.1.6. Указанные документы (в том числе копии документов) в части их оформления,</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widowControl w:val="false"/>
        <w:ind w:firstLine="709" w:left="0" w:right="0"/>
        <w:jc w:val="both"/>
        <w:rPr>
          <w:highlight w:val="none"/>
          <w:shd w:fill="FFFFFF" w:val="clear"/>
        </w:rPr>
      </w:pPr>
      <w:r>
        <w:rPr>
          <w:shd w:fill="FFFFFF" w:val="clear"/>
        </w:rPr>
        <w:t xml:space="preserve">7.1.7. Заявки подаются одновременно с полным комплектом документов, установленным в настоящем информационном сообщении. </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pPr>
        <w:pStyle w:val="BodyText211"/>
        <w:widowControl w:val="false"/>
        <w:tabs>
          <w:tab w:val="clear" w:pos="284"/>
        </w:tabs>
        <w:ind w:hanging="0" w:left="0" w:right="0"/>
        <w:rPr>
          <w:b/>
          <w:highlight w:val="none"/>
          <w:shd w:fill="FFFFFF" w:val="clear"/>
        </w:rPr>
      </w:pPr>
      <w:r>
        <w:rPr>
          <w:b/>
          <w:shd w:fill="FFFFFF" w:val="clear"/>
        </w:rPr>
      </w:r>
    </w:p>
    <w:p>
      <w:pPr>
        <w:pStyle w:val="BodyText211"/>
        <w:widowControl w:val="false"/>
        <w:tabs>
          <w:tab w:val="clear" w:pos="284"/>
        </w:tabs>
        <w:ind w:hanging="0" w:left="851" w:right="0"/>
        <w:jc w:val="center"/>
        <w:rPr>
          <w:highlight w:val="none"/>
          <w:shd w:fill="FFFFFF" w:val="clear"/>
        </w:rPr>
      </w:pPr>
      <w:r>
        <w:rPr>
          <w:b/>
          <w:shd w:fill="FFFFFF" w:val="clear"/>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shd w:fill="FFFFFF" w:val="clear"/>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highlight w:val="none"/>
          <w:shd w:fill="FFFFFF" w:val="clear"/>
        </w:rPr>
      </w:pPr>
      <w:r>
        <w:rPr>
          <w:shd w:fill="FFFFFF" w:val="clear"/>
        </w:rPr>
        <w:t xml:space="preserve">8.2. </w:t>
      </w:r>
      <w:r>
        <w:rPr>
          <w:color w:themeColor="text1" w:val="000000"/>
          <w:shd w:fill="FFFFFF" w:val="clear"/>
        </w:rPr>
        <w:t xml:space="preserve">Покупателями государственного имущества могут быть любые физические и юридические лица, за исключением </w:t>
      </w:r>
      <w:r>
        <w:rPr>
          <w:shd w:fill="FFFFFF" w:val="clea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shd w:fill="FFFFFF" w:val="clear"/>
        </w:rPr>
        <w:t>:</w:t>
      </w:r>
    </w:p>
    <w:p>
      <w:pPr>
        <w:pStyle w:val="Normal"/>
        <w:widowControl w:val="false"/>
        <w:ind w:firstLine="709" w:left="0" w:right="0"/>
        <w:jc w:val="both"/>
        <w:rPr>
          <w:highlight w:val="none"/>
          <w:shd w:fill="FFFFFF" w:val="clear"/>
        </w:rPr>
      </w:pPr>
      <w:r>
        <w:rPr>
          <w:color w:themeColor="text1" w:val="000000"/>
          <w:shd w:fill="FFFFFF" w:val="clear"/>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highlight w:val="none"/>
          <w:shd w:fill="FFFFFF" w:val="clear"/>
        </w:rPr>
      </w:pPr>
      <w:r>
        <w:rPr>
          <w:color w:themeColor="text1" w:val="000000"/>
          <w:shd w:fill="FFFFFF" w:val="clear"/>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shd w:fill="FFFFFF" w:val="clear"/>
        </w:rPr>
        <w:t xml:space="preserve">кроме случаев, предусмотренных статьей 25 Федерального закона; </w:t>
      </w:r>
    </w:p>
    <w:p>
      <w:pPr>
        <w:pStyle w:val="Normal"/>
        <w:widowControl w:val="false"/>
        <w:ind w:firstLine="709" w:left="0" w:right="0"/>
        <w:jc w:val="both"/>
        <w:rPr>
          <w:highlight w:val="none"/>
          <w:shd w:fill="FFFFFF" w:val="clear"/>
        </w:rPr>
      </w:pPr>
      <w:r>
        <w:rPr>
          <w:shd w:fill="FFFFFF" w:val="clea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
        <w:widowControl w:val="false"/>
        <w:tabs>
          <w:tab w:val="clear" w:pos="284"/>
        </w:tabs>
        <w:ind w:firstLine="851" w:left="0" w:right="0"/>
        <w:rPr>
          <w:b/>
          <w:highlight w:val="none"/>
          <w:shd w:fill="FFFFFF" w:val="clear"/>
        </w:rPr>
      </w:pPr>
      <w:r>
        <w:rPr>
          <w:b/>
          <w:shd w:fill="FFFFFF" w:val="clear"/>
        </w:rPr>
      </w:r>
    </w:p>
    <w:p>
      <w:pPr>
        <w:pStyle w:val="BodyText211"/>
        <w:widowControl w:val="false"/>
        <w:ind w:hanging="0" w:left="360" w:right="0"/>
        <w:jc w:val="center"/>
        <w:rPr>
          <w:highlight w:val="none"/>
          <w:shd w:fill="FFFFFF" w:val="clear"/>
        </w:rPr>
      </w:pPr>
      <w:r>
        <w:rPr>
          <w:b/>
          <w:shd w:fill="FFFFFF" w:val="clear"/>
        </w:rPr>
        <w:t>9. Порядок внесения задатка и его возврата</w:t>
      </w:r>
    </w:p>
    <w:p>
      <w:pPr>
        <w:pStyle w:val="BodyText211"/>
        <w:widowControl w:val="false"/>
        <w:ind w:firstLine="709" w:left="0" w:right="0"/>
        <w:rPr>
          <w:highlight w:val="none"/>
          <w:shd w:fill="FFFFFF" w:val="clear"/>
        </w:rPr>
      </w:pPr>
      <w:r>
        <w:rPr>
          <w:b/>
          <w:shd w:fill="FFFFFF" w:val="clear"/>
        </w:rPr>
        <w:t>9.1.Порядок внесения задатка</w:t>
      </w:r>
    </w:p>
    <w:p>
      <w:pPr>
        <w:pStyle w:val="BodyText211"/>
        <w:widowControl w:val="false"/>
        <w:ind w:firstLine="709" w:left="0" w:right="0"/>
        <w:rPr>
          <w:highlight w:val="none"/>
          <w:shd w:fill="FFFFFF" w:val="clear"/>
        </w:rPr>
      </w:pPr>
      <w:r>
        <w:rPr>
          <w:shd w:fill="FFFFFF" w:val="clea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Задаток вносится в валюте Российской Федерации на счет Продавца:</w:t>
      </w:r>
    </w:p>
    <w:p>
      <w:pPr>
        <w:pStyle w:val="Normal"/>
        <w:widowControl/>
        <w:spacing w:lineRule="exact" w:line="280" w:before="0" w:after="0"/>
        <w:ind w:firstLine="709" w:left="0" w:right="0"/>
        <w:jc w:val="both"/>
        <w:rPr>
          <w:highlight w:val="none"/>
          <w:shd w:fill="FFFFFF" w:val="clear"/>
        </w:rPr>
      </w:pPr>
      <w:r>
        <w:rPr>
          <w:b w:val="false"/>
          <w:i w:val="false"/>
          <w:caps w:val="false"/>
          <w:smallCaps w:val="false"/>
          <w:color w:val="000000"/>
          <w:spacing w:val="0"/>
          <w:sz w:val="24"/>
          <w:shd w:fill="FFFFFF" w:val="clear"/>
        </w:rPr>
        <w:t>Получатель: УФК по Новосибирской области (ТУ Росимущества в Пермском крае,</w:t>
      </w:r>
    </w:p>
    <w:p>
      <w:pPr>
        <w:pStyle w:val="Normal"/>
        <w:widowControl/>
        <w:spacing w:lineRule="exact" w:line="280" w:before="0" w:after="0"/>
        <w:ind w:hanging="0" w:left="0" w:right="0"/>
        <w:jc w:val="both"/>
        <w:rPr>
          <w:highlight w:val="none"/>
          <w:shd w:fill="FFFFFF" w:val="clear"/>
        </w:rPr>
      </w:pPr>
      <w:r>
        <w:rPr>
          <w:b/>
          <w:i w:val="false"/>
          <w:caps w:val="false"/>
          <w:smallCaps w:val="false"/>
          <w:color w:val="000000"/>
          <w:spacing w:val="0"/>
          <w:sz w:val="24"/>
          <w:shd w:fill="FFFFFF" w:val="clear"/>
        </w:rPr>
        <w:t>л/с 05561А62100);</w:t>
      </w:r>
    </w:p>
    <w:p>
      <w:pPr>
        <w:pStyle w:val="Normal"/>
        <w:widowControl/>
        <w:spacing w:lineRule="exact" w:line="280" w:before="0" w:after="0"/>
        <w:ind w:firstLine="709" w:left="0" w:right="0"/>
        <w:jc w:val="both"/>
        <w:rPr>
          <w:highlight w:val="none"/>
          <w:shd w:fill="FFFFFF" w:val="clear"/>
        </w:rPr>
      </w:pPr>
      <w:r>
        <w:rPr>
          <w:b w:val="false"/>
          <w:i w:val="false"/>
          <w:caps w:val="false"/>
          <w:smallCaps w:val="false"/>
          <w:color w:val="000000"/>
          <w:spacing w:val="0"/>
          <w:sz w:val="24"/>
          <w:shd w:fill="FFFFFF" w:val="clear"/>
        </w:rPr>
        <w:t>ИНН 5902293756, КПП 590201001;</w:t>
      </w:r>
    </w:p>
    <w:p>
      <w:pPr>
        <w:pStyle w:val="Normal"/>
        <w:widowControl/>
        <w:spacing w:lineRule="exact" w:line="280" w:before="0" w:after="0"/>
        <w:ind w:firstLine="709" w:left="0" w:right="0"/>
        <w:jc w:val="both"/>
        <w:rPr>
          <w:highlight w:val="none"/>
          <w:shd w:fill="FFFFFF" w:val="clear"/>
        </w:rPr>
      </w:pPr>
      <w:r>
        <w:rPr>
          <w:b w:val="false"/>
          <w:i w:val="false"/>
          <w:caps w:val="false"/>
          <w:smallCaps w:val="false"/>
          <w:color w:val="000000"/>
          <w:spacing w:val="0"/>
          <w:sz w:val="24"/>
          <w:shd w:fill="FFFFFF" w:val="clear"/>
        </w:rPr>
        <w:t>Единый казначейский счет 40102810445370000043</w:t>
      </w:r>
    </w:p>
    <w:p>
      <w:pPr>
        <w:pStyle w:val="Normal"/>
        <w:widowControl/>
        <w:spacing w:lineRule="exact" w:line="280" w:before="0" w:after="0"/>
        <w:ind w:firstLine="709" w:left="0" w:right="0"/>
        <w:jc w:val="both"/>
        <w:rPr>
          <w:highlight w:val="none"/>
          <w:shd w:fill="FFFFFF" w:val="clear"/>
        </w:rPr>
      </w:pPr>
      <w:r>
        <w:rPr>
          <w:b w:val="false"/>
          <w:i w:val="false"/>
          <w:caps w:val="false"/>
          <w:smallCaps w:val="false"/>
          <w:color w:val="000000"/>
          <w:spacing w:val="0"/>
          <w:sz w:val="24"/>
          <w:shd w:fill="FFFFFF" w:val="clear"/>
        </w:rPr>
        <w:t>Банк получателя: ОКЦ № 1 СибГУ Банка России//УФК по Новосибирской области,</w:t>
      </w:r>
    </w:p>
    <w:p>
      <w:pPr>
        <w:pStyle w:val="Normal"/>
        <w:widowControl/>
        <w:spacing w:lineRule="exact" w:line="280" w:before="0" w:after="0"/>
        <w:ind w:firstLine="709" w:left="0" w:right="0"/>
        <w:jc w:val="both"/>
        <w:rPr>
          <w:highlight w:val="none"/>
          <w:shd w:fill="FFFFFF" w:val="clear"/>
        </w:rPr>
      </w:pPr>
      <w:r>
        <w:rPr>
          <w:b w:val="false"/>
          <w:i w:val="false"/>
          <w:caps w:val="false"/>
          <w:smallCaps w:val="false"/>
          <w:color w:val="000000"/>
          <w:spacing w:val="0"/>
          <w:sz w:val="24"/>
          <w:shd w:fill="FFFFFF" w:val="clear"/>
        </w:rPr>
        <w:t>г Новосибирск;</w:t>
      </w:r>
    </w:p>
    <w:p>
      <w:pPr>
        <w:pStyle w:val="Normal"/>
        <w:widowControl/>
        <w:spacing w:lineRule="exact" w:line="280" w:before="0" w:after="0"/>
        <w:ind w:firstLine="709" w:left="0" w:right="0"/>
        <w:jc w:val="both"/>
        <w:rPr>
          <w:highlight w:val="none"/>
          <w:shd w:fill="FFFFFF" w:val="clear"/>
        </w:rPr>
      </w:pPr>
      <w:r>
        <w:rPr>
          <w:b w:val="false"/>
          <w:i w:val="false"/>
          <w:caps w:val="false"/>
          <w:smallCaps w:val="false"/>
          <w:color w:val="000000"/>
          <w:spacing w:val="0"/>
          <w:sz w:val="24"/>
          <w:shd w:fill="FFFFFF" w:val="clear"/>
        </w:rPr>
        <w:t>БИК ТОФК 015004950, ОКТМО 57701000;</w:t>
      </w:r>
    </w:p>
    <w:p>
      <w:pPr>
        <w:pStyle w:val="Normal"/>
        <w:widowControl/>
        <w:spacing w:lineRule="exact" w:line="280" w:before="0" w:after="0"/>
        <w:ind w:firstLine="709" w:left="0" w:right="0"/>
        <w:jc w:val="both"/>
        <w:rPr>
          <w:highlight w:val="none"/>
          <w:shd w:fill="FFFFFF" w:val="clear"/>
        </w:rPr>
      </w:pPr>
      <w:r>
        <w:rPr>
          <w:b w:val="false"/>
          <w:i w:val="false"/>
          <w:caps w:val="false"/>
          <w:smallCaps w:val="false"/>
          <w:color w:val="000000"/>
          <w:spacing w:val="0"/>
          <w:sz w:val="24"/>
          <w:shd w:fill="FFFFFF" w:val="clear"/>
        </w:rPr>
        <w:t>Казначейский счет 03212643000000015111.</w:t>
      </w:r>
    </w:p>
    <w:p>
      <w:pPr>
        <w:pStyle w:val="BodyText211"/>
        <w:widowControl w:val="false"/>
        <w:tabs>
          <w:tab w:val="clear" w:pos="284"/>
          <w:tab w:val="left" w:pos="0" w:leader="none"/>
          <w:tab w:val="left" w:pos="709" w:leader="none"/>
        </w:tabs>
        <w:ind w:firstLine="709" w:left="0" w:right="0"/>
        <w:rPr>
          <w:highlight w:val="none"/>
          <w:shd w:fill="FFFFFF" w:val="clear"/>
        </w:rPr>
      </w:pPr>
      <w:r>
        <w:rPr>
          <w:b w:val="false"/>
          <w:sz w:val="24"/>
          <w:shd w:fill="FFFFFF" w:val="clear"/>
        </w:rPr>
        <w:t xml:space="preserve">Назначение платежа: задаток для участия в аукционе по продаже </w:t>
      </w:r>
      <w:r>
        <w:rPr>
          <w:b w:val="false"/>
          <w:color w:val="000000"/>
          <w:sz w:val="24"/>
          <w:u w:val="none"/>
          <w:shd w:fill="FFFFFF" w:val="clear"/>
        </w:rPr>
        <w:t>земельного участка с КН 59:07:0010110:1, с расположенными на нем объектами недвижимого имущества, по адресу: Пермский край, г. Краснокамск, берег р. Кама, ацетиленовая станция у д. Конец Бор</w:t>
      </w:r>
      <w:r>
        <w:rPr>
          <w:b w:val="false"/>
          <w:sz w:val="24"/>
          <w:shd w:fill="FFFFFF" w:val="clear"/>
        </w:rPr>
        <w:t xml:space="preserve">, в электронной форме </w:t>
      </w:r>
      <w:r>
        <w:rPr>
          <w:b/>
          <w:sz w:val="28"/>
          <w:shd w:fill="FFFFFF" w:val="clear"/>
        </w:rPr>
        <w:t>(можно сокращать)</w:t>
      </w:r>
      <w:r>
        <w:rPr>
          <w:b w:val="false"/>
          <w:sz w:val="24"/>
          <w:shd w:fill="FFFFFF" w:val="clear"/>
        </w:rPr>
        <w:t>, без НДС.</w:t>
      </w:r>
    </w:p>
    <w:p>
      <w:pPr>
        <w:pStyle w:val="Normal"/>
        <w:widowControl w:val="false"/>
        <w:ind w:firstLine="708" w:left="0" w:right="0"/>
        <w:jc w:val="both"/>
        <w:rPr>
          <w:highlight w:val="none"/>
          <w:shd w:fill="FFFFFF" w:val="clear"/>
        </w:rPr>
      </w:pPr>
      <w:r>
        <w:rPr>
          <w:b/>
          <w:color w:val="000000"/>
          <w:sz w:val="24"/>
          <w:shd w:fill="FFFFFF" w:val="clear"/>
        </w:rPr>
        <w:t>При перечислении денежных средств в качестве</w:t>
      </w:r>
      <w:r>
        <w:rPr>
          <w:b/>
          <w:color w:val="000000"/>
          <w:shd w:fill="FFFFFF" w:val="clear"/>
        </w:rPr>
        <w:t xml:space="preserve"> задатка после 31.12.2021 необходимо в обязательном порядке в платежном поручении в Поле 22 «Код» указывать Код нормативного акта 0011.</w:t>
      </w:r>
    </w:p>
    <w:p>
      <w:pPr>
        <w:pStyle w:val="BodyText211"/>
        <w:widowControl w:val="false"/>
        <w:ind w:firstLine="709" w:left="0" w:right="0"/>
        <w:rPr>
          <w:highlight w:val="none"/>
          <w:shd w:fill="FFFFFF" w:val="clear"/>
        </w:rPr>
      </w:pPr>
      <w:r>
        <w:rPr>
          <w:shd w:fill="FFFFFF" w:val="clear"/>
        </w:rPr>
        <w:t>9.1.2. Задаток вносится единым платежом.</w:t>
      </w:r>
    </w:p>
    <w:p>
      <w:pPr>
        <w:pStyle w:val="BodyText211"/>
        <w:widowControl w:val="false"/>
        <w:ind w:firstLine="709" w:left="0" w:right="0"/>
        <w:rPr>
          <w:highlight w:val="none"/>
          <w:shd w:fill="FFFFFF" w:val="clear"/>
        </w:rPr>
      </w:pPr>
      <w:r>
        <w:rPr>
          <w:shd w:fill="FFFFFF" w:val="clear"/>
        </w:rPr>
        <w:t>9.1.3. Документом, подтверждающим поступление задатка на счет Продавца, является выписка с указанного лицевого счета.</w:t>
      </w:r>
    </w:p>
    <w:p>
      <w:pPr>
        <w:pStyle w:val="BodyText211"/>
        <w:widowControl w:val="false"/>
        <w:numPr>
          <w:ilvl w:val="1"/>
          <w:numId w:val="4"/>
        </w:numPr>
        <w:tabs>
          <w:tab w:val="clear" w:pos="284"/>
        </w:tabs>
        <w:ind w:firstLine="709" w:left="0" w:right="0"/>
        <w:rPr>
          <w:highlight w:val="none"/>
          <w:shd w:fill="FFFFFF" w:val="clear"/>
        </w:rPr>
      </w:pPr>
      <w:r>
        <w:rPr>
          <w:b/>
          <w:shd w:fill="FFFFFF" w:val="clear"/>
        </w:rPr>
        <w:t xml:space="preserve"> </w:t>
      </w:r>
      <w:r>
        <w:rPr>
          <w:b/>
          <w:shd w:fill="FFFFFF" w:val="clear"/>
        </w:rPr>
        <w:t>Порядок возврата задатка</w:t>
      </w:r>
    </w:p>
    <w:p>
      <w:pPr>
        <w:pStyle w:val="Normal"/>
        <w:widowControl w:val="false"/>
        <w:ind w:firstLine="709" w:left="0" w:right="0"/>
        <w:jc w:val="both"/>
        <w:rPr>
          <w:highlight w:val="none"/>
          <w:shd w:fill="FFFFFF" w:val="clear"/>
        </w:rPr>
      </w:pPr>
      <w:r>
        <w:rPr>
          <w:rFonts w:ascii="TimesNewRoman,Bold" w:hAnsi="TimesNewRoman,Bold"/>
          <w:shd w:fill="FFFFFF" w:val="clear"/>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highlight w:val="none"/>
          <w:shd w:fill="FFFFFF" w:val="clear"/>
        </w:rPr>
      </w:pPr>
      <w:r>
        <w:rPr>
          <w:rFonts w:ascii="TimesNewRoman,Bold" w:hAnsi="TimesNewRoman,Bold"/>
          <w:shd w:fill="FFFFFF" w:val="clear"/>
        </w:rPr>
        <w:t>а) участникам, за исключением победителя, - в течение 5 (пяти) календарных дней со дня подведения итогов продажи имущества;</w:t>
      </w:r>
    </w:p>
    <w:p>
      <w:pPr>
        <w:pStyle w:val="Normal"/>
        <w:widowControl w:val="false"/>
        <w:ind w:firstLine="709" w:left="0" w:right="0"/>
        <w:jc w:val="both"/>
        <w:rPr>
          <w:highlight w:val="none"/>
          <w:shd w:fill="FFFFFF" w:val="clear"/>
        </w:rPr>
      </w:pPr>
      <w:r>
        <w:rPr>
          <w:rFonts w:ascii="TimesNewRoman,Bold" w:hAnsi="TimesNewRoman,Bold"/>
          <w:shd w:fill="FFFFFF" w:val="clear"/>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highlight w:val="none"/>
          <w:shd w:fill="FFFFFF" w:val="clear"/>
        </w:rPr>
      </w:pPr>
      <w:r>
        <w:rPr>
          <w:rFonts w:ascii="TimesNewRoman,Bold" w:hAnsi="TimesNewRoman,Bold"/>
          <w:shd w:fill="FFFFFF" w:val="clear"/>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highlight w:val="none"/>
          <w:shd w:fill="FFFFFF" w:val="clear"/>
        </w:rPr>
      </w:pPr>
      <w:r>
        <w:rPr>
          <w:rFonts w:ascii="TimesNewRoman,Bold" w:hAnsi="TimesNewRoman,Bold"/>
          <w:shd w:fill="FFFFFF" w:val="clear"/>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pPr>
      <w:r>
        <w:rPr>
          <w:rFonts w:ascii="TimesNewRoman,Bold" w:hAnsi="TimesNewRoman,Bold"/>
          <w:shd w:fill="FFFFFF" w:val="clear"/>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5">
        <w:r>
          <w:rPr>
            <w:rStyle w:val="ListLabel47"/>
            <w:rFonts w:ascii="TimesNewRoman,Bold" w:hAnsi="TimesNewRoman,Bold"/>
            <w:shd w:fill="FFFFFF" w:val="clear"/>
          </w:rPr>
          <w:t>законодательством</w:t>
        </w:r>
      </w:hyperlink>
      <w:r>
        <w:rPr>
          <w:rFonts w:ascii="TimesNewRoman,Bold" w:hAnsi="TimesNewRoman,Bold"/>
          <w:shd w:fill="FFFFFF" w:val="clear"/>
        </w:rPr>
        <w:t xml:space="preserve"> Российской Федерации в договоре купли-продажи имущества, задаток ему не возвращается.</w:t>
      </w:r>
    </w:p>
    <w:p>
      <w:pPr>
        <w:pStyle w:val="Normal"/>
        <w:widowControl w:val="false"/>
        <w:ind w:firstLine="709" w:left="0" w:right="0"/>
        <w:jc w:val="both"/>
        <w:rPr>
          <w:highlight w:val="none"/>
          <w:shd w:fill="FFFFFF" w:val="clear"/>
        </w:rPr>
      </w:pPr>
      <w:r>
        <w:rPr>
          <w:shd w:fill="FFFFFF" w:val="clea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widowControl w:val="false"/>
        <w:ind w:firstLine="709" w:left="0" w:right="0"/>
        <w:jc w:val="both"/>
        <w:rPr>
          <w:highlight w:val="none"/>
          <w:shd w:fill="FFFFFF" w:val="clear"/>
        </w:rPr>
      </w:pPr>
      <w:r>
        <w:rPr>
          <w:shd w:fill="FFFFFF" w:val="clea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widowControl w:val="false"/>
        <w:ind w:firstLine="851" w:left="0" w:right="0"/>
        <w:jc w:val="both"/>
        <w:rPr>
          <w:highlight w:val="none"/>
          <w:shd w:fill="FFFFFF" w:val="clear"/>
        </w:rPr>
      </w:pPr>
      <w:r>
        <w:rPr>
          <w:shd w:fill="FFFFFF" w:val="clear"/>
        </w:rPr>
      </w:r>
    </w:p>
    <w:p>
      <w:pPr>
        <w:pStyle w:val="BodyTextIndent211"/>
        <w:widowControl w:val="false"/>
        <w:numPr>
          <w:ilvl w:val="0"/>
          <w:numId w:val="4"/>
        </w:numPr>
        <w:ind w:firstLine="851" w:left="0" w:right="0"/>
        <w:jc w:val="center"/>
        <w:rPr>
          <w:highlight w:val="none"/>
          <w:shd w:fill="FFFFFF" w:val="clear"/>
        </w:rPr>
      </w:pPr>
      <w:r>
        <w:rPr>
          <w:b/>
          <w:shd w:fill="FFFFFF" w:val="clear"/>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shd w:fill="FFFFFF" w:val="clea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46"/>
            <w:shd w:fill="FFFFFF" w:val="clear"/>
          </w:rPr>
          <w:t>www.torgi.gov.ru</w:t>
        </w:r>
      </w:hyperlink>
      <w:r>
        <w:rPr>
          <w:shd w:fill="FFFFFF" w:val="clea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highlight w:val="none"/>
          <w:shd w:fill="FFFFFF" w:val="clear"/>
        </w:rPr>
      </w:pPr>
      <w:r>
        <w:rPr>
          <w:shd w:fill="FFFFFF" w:val="clear"/>
        </w:rPr>
        <w:t>а) информационное сообщение о проведении продажи имущества;</w:t>
      </w:r>
    </w:p>
    <w:p>
      <w:pPr>
        <w:pStyle w:val="Normal"/>
        <w:widowControl w:val="false"/>
        <w:ind w:firstLine="709" w:left="0" w:right="0"/>
        <w:jc w:val="both"/>
        <w:rPr>
          <w:highlight w:val="none"/>
          <w:shd w:fill="FFFFFF" w:val="clear"/>
        </w:rPr>
      </w:pPr>
      <w:r>
        <w:rPr>
          <w:shd w:fill="FFFFFF" w:val="clear"/>
        </w:rPr>
        <w:t>б) форма заявки (приложение № 1);</w:t>
      </w:r>
    </w:p>
    <w:p>
      <w:pPr>
        <w:pStyle w:val="Normal"/>
        <w:widowControl w:val="false"/>
        <w:ind w:firstLine="709" w:left="0" w:right="0"/>
        <w:jc w:val="both"/>
        <w:rPr>
          <w:highlight w:val="none"/>
          <w:shd w:fill="FFFFFF" w:val="clear"/>
        </w:rPr>
      </w:pPr>
      <w:r>
        <w:rPr>
          <w:shd w:fill="FFFFFF" w:val="clear"/>
        </w:rPr>
        <w:t>в) проект договора купли-продажи имущества (приложение № 2);</w:t>
      </w:r>
    </w:p>
    <w:p>
      <w:pPr>
        <w:pStyle w:val="Normal"/>
        <w:widowControl w:val="false"/>
        <w:ind w:firstLine="709" w:left="0" w:right="0"/>
        <w:jc w:val="both"/>
        <w:rPr>
          <w:highlight w:val="none"/>
          <w:shd w:fill="FFFFFF" w:val="clear"/>
        </w:rPr>
      </w:pPr>
      <w:r>
        <w:rPr>
          <w:shd w:fill="FFFFFF" w:val="clea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highlight w:val="none"/>
          <w:shd w:fill="FFFFFF" w:val="clear"/>
        </w:rPr>
      </w:pPr>
      <w:r>
        <w:rPr>
          <w:shd w:fill="FFFFFF" w:val="clea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highlight w:val="none"/>
          <w:shd w:fill="FFFFFF" w:val="clear"/>
        </w:rPr>
      </w:pPr>
      <w:r>
        <w:rPr>
          <w:shd w:fill="FFFFFF" w:val="clea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highlight w:val="none"/>
          <w:shd w:fill="FFFFFF" w:val="clear"/>
        </w:rPr>
      </w:pPr>
      <w:r>
        <w:rPr>
          <w:shd w:fill="FFFFFF" w:val="clea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highlight w:val="none"/>
          <w:shd w:fill="FFFFFF" w:val="clear"/>
        </w:rPr>
      </w:pPr>
      <w:r>
        <w:rPr>
          <w:shd w:fill="FFFFFF" w:val="clea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highlight w:val="none"/>
          <w:shd w:fill="FFFFFF" w:val="clear"/>
        </w:rPr>
      </w:pPr>
      <w:r>
        <w:rPr>
          <w:shd w:fill="FFFFFF" w:val="clea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highlight w:val="none"/>
          <w:shd w:fill="FFFFFF" w:val="clear"/>
        </w:rPr>
      </w:pPr>
      <w:r>
        <w:rPr>
          <w:shd w:fill="FFFFFF" w:val="clea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highlight w:val="none"/>
          <w:shd w:fill="FFFFFF" w:val="clear"/>
        </w:rPr>
      </w:pPr>
      <w:r>
        <w:rPr>
          <w:shd w:fill="FFFFFF" w:val="clear"/>
        </w:rPr>
      </w:r>
    </w:p>
    <w:p>
      <w:pPr>
        <w:pStyle w:val="BodyTextIndent211"/>
        <w:widowControl w:val="false"/>
        <w:ind w:hanging="0" w:left="851" w:right="0"/>
        <w:jc w:val="center"/>
        <w:rPr>
          <w:highlight w:val="none"/>
          <w:shd w:fill="FFFFFF" w:val="clear"/>
        </w:rPr>
      </w:pPr>
      <w:r>
        <w:rPr>
          <w:b/>
          <w:shd w:fill="FFFFFF" w:val="clear"/>
        </w:rPr>
        <w:t>11. Порядок определения участников аукциона</w:t>
      </w:r>
    </w:p>
    <w:p>
      <w:pPr>
        <w:pStyle w:val="BodyTextIndent211"/>
        <w:widowControl w:val="false"/>
        <w:ind w:hanging="0" w:left="851" w:right="0"/>
        <w:jc w:val="center"/>
        <w:rPr>
          <w:b/>
          <w:highlight w:val="none"/>
          <w:shd w:fill="FFFFFF" w:val="clear"/>
        </w:rPr>
      </w:pPr>
      <w:r>
        <w:rPr>
          <w:b/>
          <w:shd w:fill="FFFFFF" w:val="clear"/>
        </w:rPr>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
        <w:widowControl w:val="false"/>
        <w:spacing w:before="120" w:after="0"/>
        <w:ind w:firstLine="851" w:left="0" w:right="0"/>
        <w:contextualSpacing/>
        <w:jc w:val="center"/>
        <w:rPr>
          <w:b/>
          <w:highlight w:val="none"/>
          <w:shd w:fill="FFFFFF" w:val="clear"/>
        </w:rPr>
      </w:pPr>
      <w:r>
        <w:rPr>
          <w:b/>
          <w:shd w:fill="FFFFFF" w:val="clear"/>
        </w:rPr>
      </w:r>
    </w:p>
    <w:p>
      <w:pPr>
        <w:pStyle w:val="ListParagraph11"/>
        <w:widowControl w:val="false"/>
        <w:spacing w:before="120" w:after="0"/>
        <w:ind w:firstLine="851" w:left="0" w:right="0"/>
        <w:contextualSpacing/>
        <w:jc w:val="center"/>
        <w:rPr>
          <w:highlight w:val="none"/>
          <w:shd w:fill="FFFFFF" w:val="clear"/>
        </w:rPr>
      </w:pPr>
      <w:r>
        <w:rPr>
          <w:rFonts w:ascii="Times New Roman" w:hAnsi="Times New Roman"/>
          <w:b/>
          <w:sz w:val="24"/>
          <w:shd w:fill="FFFFFF" w:val="clear"/>
        </w:rPr>
        <w:t>12. Порядок проведения аукциона и определения победителя</w:t>
      </w:r>
    </w:p>
    <w:p>
      <w:pPr>
        <w:pStyle w:val="Normal"/>
        <w:widowControl w:val="false"/>
        <w:ind w:firstLine="709" w:left="0" w:right="0"/>
        <w:jc w:val="both"/>
        <w:rPr>
          <w:highlight w:val="none"/>
          <w:shd w:fill="FFFFFF" w:val="clear"/>
        </w:rPr>
      </w:pPr>
      <w:r>
        <w:rPr>
          <w:shd w:fill="FFFFFF" w:val="clea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highlight w:val="none"/>
          <w:shd w:fill="FFFFFF" w:val="clear"/>
        </w:rPr>
      </w:pPr>
      <w:r>
        <w:rPr>
          <w:shd w:fill="FFFFFF" w:val="clea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highlight w:val="none"/>
          <w:shd w:fill="FFFFFF" w:val="clear"/>
        </w:rPr>
      </w:pPr>
      <w:r>
        <w:rPr>
          <w:shd w:fill="FFFFFF" w:val="clea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highlight w:val="none"/>
          <w:shd w:fill="FFFFFF" w:val="clear"/>
        </w:rPr>
      </w:pPr>
      <w:r>
        <w:rPr>
          <w:shd w:fill="FFFFFF" w:val="clear"/>
        </w:rPr>
        <w:t>12.3. Со времени начала проведения процедуры аукциона организатором размещается:</w:t>
      </w:r>
    </w:p>
    <w:p>
      <w:pPr>
        <w:pStyle w:val="Normal"/>
        <w:widowControl w:val="false"/>
        <w:ind w:firstLine="709" w:left="0" w:right="0"/>
        <w:jc w:val="both"/>
        <w:rPr>
          <w:highlight w:val="none"/>
          <w:shd w:fill="FFFFFF" w:val="clear"/>
        </w:rPr>
      </w:pPr>
      <w:r>
        <w:rPr>
          <w:shd w:fill="FFFFFF" w:val="clea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highlight w:val="none"/>
          <w:shd w:fill="FFFFFF" w:val="clear"/>
        </w:rPr>
      </w:pPr>
      <w:r>
        <w:rPr>
          <w:shd w:fill="FFFFFF" w:val="clea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highlight w:val="none"/>
          <w:shd w:fill="FFFFFF" w:val="clear"/>
        </w:rPr>
      </w:pPr>
      <w:r>
        <w:rPr>
          <w:shd w:fill="FFFFFF" w:val="clea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highlight w:val="none"/>
          <w:shd w:fill="FFFFFF" w:val="clear"/>
        </w:rPr>
      </w:pPr>
      <w:r>
        <w:rPr>
          <w:shd w:fill="FFFFFF" w:val="clea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highlight w:val="none"/>
          <w:shd w:fill="FFFFFF" w:val="clear"/>
        </w:rPr>
      </w:pPr>
      <w:r>
        <w:rPr>
          <w:shd w:fill="FFFFFF" w:val="clea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highlight w:val="none"/>
          <w:shd w:fill="FFFFFF" w:val="clear"/>
        </w:rPr>
      </w:pPr>
      <w:r>
        <w:rPr>
          <w:shd w:fill="FFFFFF" w:val="clear"/>
        </w:rPr>
        <w:t>12.5. При этом программными средствами электронной площадки обеспечивается:</w:t>
      </w:r>
    </w:p>
    <w:p>
      <w:pPr>
        <w:pStyle w:val="Normal"/>
        <w:widowControl w:val="false"/>
        <w:ind w:firstLine="709" w:left="0" w:right="0"/>
        <w:jc w:val="both"/>
        <w:rPr>
          <w:highlight w:val="none"/>
          <w:shd w:fill="FFFFFF" w:val="clear"/>
        </w:rPr>
      </w:pPr>
      <w:r>
        <w:rPr>
          <w:shd w:fill="FFFFFF" w:val="clea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highlight w:val="none"/>
          <w:shd w:fill="FFFFFF" w:val="clear"/>
        </w:rPr>
      </w:pPr>
      <w:r>
        <w:rPr>
          <w:shd w:fill="FFFFFF" w:val="clea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highlight w:val="none"/>
          <w:shd w:fill="FFFFFF" w:val="clear"/>
        </w:rPr>
      </w:pPr>
      <w:r>
        <w:rPr>
          <w:shd w:fill="FFFFFF" w:val="clear"/>
        </w:rPr>
        <w:t>12.6. Победителем признается участник, предложивший наиболее высокую цену имущества.</w:t>
      </w:r>
    </w:p>
    <w:p>
      <w:pPr>
        <w:pStyle w:val="Normal"/>
        <w:widowControl w:val="false"/>
        <w:ind w:firstLine="709" w:left="0" w:right="0"/>
        <w:jc w:val="both"/>
        <w:rPr>
          <w:highlight w:val="none"/>
          <w:shd w:fill="FFFFFF" w:val="clear"/>
        </w:rPr>
      </w:pPr>
      <w:r>
        <w:rPr>
          <w:shd w:fill="FFFFFF" w:val="clear"/>
        </w:rP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highlight w:val="none"/>
          <w:shd w:fill="FFFFFF" w:val="clear"/>
        </w:rPr>
      </w:pPr>
      <w:r>
        <w:rPr>
          <w:shd w:fill="FFFFFF" w:val="clear"/>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highlight w:val="none"/>
          <w:shd w:fill="FFFFFF" w:val="clear"/>
        </w:rPr>
      </w:pPr>
      <w:r>
        <w:rPr>
          <w:shd w:fill="FFFFFF" w:val="clear"/>
        </w:rPr>
        <w:t>12.9.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highlight w:val="none"/>
          <w:shd w:fill="FFFFFF" w:val="clear"/>
        </w:rPr>
      </w:pPr>
      <w:r>
        <w:rPr>
          <w:shd w:fill="FFFFFF" w:val="clear"/>
        </w:rPr>
        <w:t>12.10. Аукцион признается несостоявшимся в следующих случаях:</w:t>
      </w:r>
    </w:p>
    <w:p>
      <w:pPr>
        <w:pStyle w:val="Normal"/>
        <w:widowControl w:val="false"/>
        <w:ind w:firstLine="709" w:left="0" w:right="0"/>
        <w:jc w:val="both"/>
        <w:rPr>
          <w:highlight w:val="none"/>
          <w:shd w:fill="FFFFFF" w:val="clear"/>
        </w:rPr>
      </w:pPr>
      <w:r>
        <w:rPr>
          <w:shd w:fill="FFFFFF" w:val="clea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highlight w:val="none"/>
          <w:shd w:fill="FFFFFF" w:val="clear"/>
        </w:rPr>
      </w:pPr>
      <w:r>
        <w:rPr>
          <w:shd w:fill="FFFFFF" w:val="clea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highlight w:val="none"/>
          <w:shd w:fill="FFFFFF" w:val="clear"/>
        </w:rPr>
      </w:pPr>
      <w:r>
        <w:rPr>
          <w:shd w:fill="FFFFFF" w:val="clear"/>
        </w:rPr>
        <w:t>в) ни один из участников не сделал предложение о начальной цене имущества.</w:t>
      </w:r>
    </w:p>
    <w:p>
      <w:pPr>
        <w:pStyle w:val="Normal"/>
        <w:widowControl w:val="false"/>
        <w:ind w:firstLine="709" w:left="0" w:right="0"/>
        <w:jc w:val="both"/>
        <w:rPr>
          <w:highlight w:val="none"/>
          <w:shd w:fill="FFFFFF" w:val="clear"/>
        </w:rPr>
      </w:pPr>
      <w:r>
        <w:rPr>
          <w:shd w:fill="FFFFFF" w:val="clear"/>
        </w:rPr>
        <w:t>12.11. Решение о признании аукциона несостоявшимся оформляется протоколом.</w:t>
      </w:r>
    </w:p>
    <w:p>
      <w:pPr>
        <w:pStyle w:val="Normal"/>
        <w:widowControl w:val="false"/>
        <w:ind w:firstLine="709" w:left="0" w:right="0"/>
        <w:jc w:val="both"/>
        <w:rPr>
          <w:highlight w:val="none"/>
          <w:shd w:fill="FFFFFF" w:val="clear"/>
        </w:rPr>
      </w:pPr>
      <w:r>
        <w:rPr>
          <w:shd w:fill="FFFFFF" w:val="clear"/>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highlight w:val="none"/>
          <w:shd w:fill="FFFFFF" w:val="clear"/>
        </w:rPr>
      </w:pPr>
      <w:r>
        <w:rPr>
          <w:shd w:fill="FFFFFF" w:val="clea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highlight w:val="none"/>
          <w:shd w:fill="FFFFFF" w:val="clear"/>
        </w:rPr>
      </w:pPr>
      <w:r>
        <w:rPr>
          <w:shd w:fill="FFFFFF" w:val="clear"/>
        </w:rPr>
        <w:t>б) цена сделки;</w:t>
      </w:r>
    </w:p>
    <w:p>
      <w:pPr>
        <w:pStyle w:val="Normal"/>
        <w:widowControl w:val="false"/>
        <w:ind w:firstLine="709" w:left="0" w:right="0"/>
        <w:jc w:val="both"/>
        <w:rPr>
          <w:highlight w:val="none"/>
          <w:shd w:fill="FFFFFF" w:val="clear"/>
        </w:rPr>
      </w:pPr>
      <w:r>
        <w:rPr>
          <w:shd w:fill="FFFFFF" w:val="clea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highlight w:val="none"/>
          <w:shd w:fill="FFFFFF" w:val="clear"/>
        </w:rPr>
      </w:pPr>
      <w:r>
        <w:rPr>
          <w:shd w:fill="FFFFFF" w:val="clear"/>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highlight w:val="none"/>
          <w:shd w:fill="FFFFFF" w:val="clear"/>
        </w:rPr>
      </w:pPr>
      <w:r>
        <w:rPr>
          <w:shd w:fill="FFFFFF" w:val="clear"/>
        </w:rPr>
      </w:r>
    </w:p>
    <w:p>
      <w:pPr>
        <w:pStyle w:val="BodyText211"/>
        <w:widowControl w:val="false"/>
        <w:tabs>
          <w:tab w:val="clear" w:pos="284"/>
          <w:tab w:val="left" w:pos="0" w:leader="none"/>
        </w:tabs>
        <w:ind w:firstLine="851" w:left="0" w:right="0"/>
        <w:jc w:val="center"/>
        <w:rPr>
          <w:highlight w:val="none"/>
          <w:shd w:fill="FFFFFF" w:val="clear"/>
        </w:rPr>
      </w:pPr>
      <w:r>
        <w:rPr>
          <w:b/>
          <w:shd w:fill="FFFFFF" w:val="clear"/>
        </w:rPr>
        <w:t>13. Срок заключения договора купли продажи имущества</w:t>
      </w:r>
    </w:p>
    <w:p>
      <w:pPr>
        <w:pStyle w:val="BodyText211"/>
        <w:widowControl w:val="false"/>
        <w:tabs>
          <w:tab w:val="clear" w:pos="284"/>
          <w:tab w:val="left" w:pos="0" w:leader="none"/>
        </w:tabs>
        <w:ind w:firstLine="851" w:left="0" w:right="0"/>
        <w:jc w:val="center"/>
        <w:rPr>
          <w:b/>
          <w:highlight w:val="none"/>
          <w:shd w:fill="FFFFFF" w:val="clear"/>
        </w:rPr>
      </w:pPr>
      <w:r>
        <w:rPr>
          <w:b/>
          <w:shd w:fill="FFFFFF" w:val="clear"/>
        </w:rPr>
      </w:r>
    </w:p>
    <w:p>
      <w:pPr>
        <w:pStyle w:val="Normal"/>
        <w:widowControl w:val="false"/>
        <w:tabs>
          <w:tab w:val="clear" w:pos="720"/>
          <w:tab w:val="left" w:pos="284" w:leader="none"/>
        </w:tabs>
        <w:ind w:firstLine="709" w:left="0" w:right="0"/>
        <w:jc w:val="both"/>
        <w:rPr>
          <w:highlight w:val="none"/>
          <w:shd w:fill="FFFFFF" w:val="clear"/>
        </w:rPr>
      </w:pPr>
      <w:r>
        <w:rPr>
          <w:shd w:fill="FFFFFF" w:val="clear"/>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pPr>
        <w:pStyle w:val="BodyTextIndent311"/>
        <w:widowControl w:val="false"/>
        <w:tabs>
          <w:tab w:val="clear" w:pos="720"/>
          <w:tab w:val="left" w:pos="0" w:leader="none"/>
        </w:tabs>
        <w:spacing w:before="0" w:after="0"/>
        <w:ind w:firstLine="709" w:left="0" w:right="0"/>
        <w:rPr>
          <w:highlight w:val="none"/>
          <w:shd w:fill="FFFFFF" w:val="clear"/>
        </w:rPr>
      </w:pPr>
      <w:r>
        <w:rPr>
          <w:b w:val="false"/>
          <w:sz w:val="24"/>
          <w:shd w:fill="FFFFFF" w:val="clear"/>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BodyTextIndent311"/>
        <w:widowControl w:val="false"/>
        <w:tabs>
          <w:tab w:val="clear" w:pos="720"/>
          <w:tab w:val="left" w:pos="0" w:leader="none"/>
        </w:tabs>
        <w:spacing w:before="0" w:after="0"/>
        <w:ind w:firstLine="709" w:left="0" w:right="0"/>
        <w:rPr>
          <w:highlight w:val="none"/>
          <w:shd w:fill="FFFFFF" w:val="clear"/>
        </w:rPr>
      </w:pPr>
      <w:r>
        <w:rPr>
          <w:b w:val="false"/>
          <w:sz w:val="24"/>
          <w:shd w:fill="FFFFFF" w:val="clear"/>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pPr>
        <w:pStyle w:val="Normal"/>
        <w:widowControl w:val="false"/>
        <w:tabs>
          <w:tab w:val="clear" w:pos="720"/>
          <w:tab w:val="left" w:pos="284" w:leader="none"/>
        </w:tabs>
        <w:ind w:firstLine="709" w:left="0" w:right="0"/>
        <w:jc w:val="both"/>
        <w:rPr>
          <w:highlight w:val="none"/>
          <w:shd w:fill="FFFFFF" w:val="clear"/>
        </w:rPr>
      </w:pPr>
      <w:r>
        <w:rPr>
          <w:sz w:val="24"/>
          <w:shd w:fill="FFFFFF" w:val="clear"/>
        </w:rPr>
        <w:t xml:space="preserve">Получатель: УФК по Пермскому краю (ТУ Росимущества в Пермском крае                    л/с 04561А62100); </w:t>
      </w:r>
    </w:p>
    <w:p>
      <w:pPr>
        <w:pStyle w:val="Normal"/>
        <w:widowControl w:val="false"/>
        <w:tabs>
          <w:tab w:val="clear" w:pos="720"/>
          <w:tab w:val="left" w:pos="284" w:leader="none"/>
        </w:tabs>
        <w:ind w:firstLine="709" w:left="0" w:right="0"/>
        <w:jc w:val="both"/>
        <w:rPr>
          <w:highlight w:val="none"/>
          <w:shd w:fill="FFFFFF" w:val="clear"/>
        </w:rPr>
      </w:pPr>
      <w:r>
        <w:rPr>
          <w:sz w:val="24"/>
          <w:shd w:fill="FFFFFF" w:val="clear"/>
        </w:rPr>
        <w:t xml:space="preserve">ИНН 5902293756, КПП 590201001; </w:t>
      </w:r>
    </w:p>
    <w:p>
      <w:pPr>
        <w:pStyle w:val="Normal"/>
        <w:widowControl w:val="false"/>
        <w:tabs>
          <w:tab w:val="clear" w:pos="720"/>
          <w:tab w:val="left" w:pos="284" w:leader="none"/>
        </w:tabs>
        <w:ind w:firstLine="709" w:left="0" w:right="0"/>
        <w:jc w:val="both"/>
        <w:rPr>
          <w:highlight w:val="none"/>
          <w:shd w:fill="FFFFFF" w:val="clear"/>
        </w:rPr>
      </w:pPr>
      <w:r>
        <w:rPr>
          <w:sz w:val="24"/>
          <w:shd w:fill="FFFFFF" w:val="clear"/>
        </w:rPr>
        <w:t>Единый казначейский счет  40102810145370000048;</w:t>
      </w:r>
    </w:p>
    <w:p>
      <w:pPr>
        <w:pStyle w:val="Normal"/>
        <w:widowControl w:val="false"/>
        <w:ind w:firstLine="708" w:left="0" w:right="0"/>
        <w:jc w:val="both"/>
        <w:rPr>
          <w:highlight w:val="none"/>
          <w:shd w:fill="FFFFFF" w:val="clear"/>
        </w:rPr>
      </w:pPr>
      <w:r>
        <w:rPr>
          <w:sz w:val="24"/>
          <w:shd w:fill="FFFFFF" w:val="clear"/>
        </w:rPr>
        <w:t>Банк получателя: ОКЦ № 3 УГУ Банка России//УФК по Пермскому краю, г. Пермь;</w:t>
      </w:r>
    </w:p>
    <w:p>
      <w:pPr>
        <w:pStyle w:val="Normal"/>
        <w:widowControl w:val="false"/>
        <w:ind w:firstLine="708" w:left="0" w:right="0"/>
        <w:jc w:val="both"/>
        <w:rPr>
          <w:highlight w:val="none"/>
          <w:shd w:fill="FFFFFF" w:val="clear"/>
        </w:rPr>
      </w:pPr>
      <w:r>
        <w:rPr>
          <w:sz w:val="24"/>
          <w:shd w:fill="FFFFFF" w:val="clear"/>
        </w:rPr>
        <w:t>БИК ТОФК 015773997, ОКТМО 57701000;</w:t>
      </w:r>
    </w:p>
    <w:p>
      <w:pPr>
        <w:pStyle w:val="Normal"/>
        <w:widowControl w:val="false"/>
        <w:tabs>
          <w:tab w:val="clear" w:pos="720"/>
          <w:tab w:val="left" w:pos="0" w:leader="none"/>
        </w:tabs>
        <w:spacing w:before="0" w:after="0"/>
        <w:ind w:firstLine="709" w:left="0" w:right="0"/>
        <w:jc w:val="both"/>
        <w:rPr>
          <w:highlight w:val="none"/>
          <w:shd w:fill="FFFFFF" w:val="clear"/>
        </w:rPr>
      </w:pPr>
      <w:r>
        <w:rPr>
          <w:b w:val="false"/>
          <w:sz w:val="24"/>
          <w:shd w:fill="FFFFFF" w:val="clear"/>
        </w:rPr>
        <w:t>КБК 167 114 13010 01 6000 410;</w:t>
      </w:r>
    </w:p>
    <w:p>
      <w:pPr>
        <w:pStyle w:val="BodyTextIndent311"/>
        <w:widowControl w:val="false"/>
        <w:tabs>
          <w:tab w:val="clear" w:pos="720"/>
          <w:tab w:val="left" w:pos="0" w:leader="none"/>
        </w:tabs>
        <w:spacing w:before="0" w:after="0"/>
        <w:ind w:firstLine="709" w:left="0" w:right="0"/>
        <w:rPr>
          <w:highlight w:val="none"/>
          <w:shd w:fill="FFFFFF" w:val="clear"/>
        </w:rPr>
      </w:pPr>
      <w:r>
        <w:rPr>
          <w:b w:val="false"/>
          <w:sz w:val="24"/>
          <w:shd w:fill="FFFFFF" w:val="clear"/>
        </w:rPr>
        <w:t>Казначейский счет 03100643000000015600.</w:t>
      </w:r>
    </w:p>
    <w:p>
      <w:pPr>
        <w:pStyle w:val="BodyText211"/>
        <w:widowControl w:val="false"/>
        <w:tabs>
          <w:tab w:val="clear" w:pos="284"/>
          <w:tab w:val="left" w:pos="0" w:leader="none"/>
          <w:tab w:val="left" w:pos="709" w:leader="none"/>
        </w:tabs>
        <w:ind w:firstLine="709" w:left="0" w:right="0"/>
        <w:rPr>
          <w:highlight w:val="none"/>
          <w:shd w:fill="FFFFFF" w:val="clear"/>
        </w:rPr>
      </w:pPr>
      <w:r>
        <w:rPr>
          <w:shd w:fill="FFFFFF" w:val="clear"/>
        </w:rPr>
        <w:t>Назначение платежа____________________________________________________.</w:t>
      </w:r>
    </w:p>
    <w:p>
      <w:pPr>
        <w:pStyle w:val="BodyText211"/>
        <w:widowControl w:val="false"/>
        <w:tabs>
          <w:tab w:val="left" w:pos="0" w:leader="none"/>
          <w:tab w:val="left" w:pos="284" w:leader="none"/>
        </w:tabs>
        <w:ind w:firstLine="709" w:left="0" w:right="0"/>
        <w:rPr>
          <w:highlight w:val="none"/>
          <w:shd w:fill="FFFFFF" w:val="clear"/>
        </w:rPr>
      </w:pPr>
      <w:r>
        <w:rPr>
          <w:shd w:fill="FFFFFF" w:val="clear"/>
        </w:rPr>
        <w:t>13.4. Задаток, перечисленный покупателем для участия в аукционе, засчитывается в счет оплаты имущества.</w:t>
      </w:r>
    </w:p>
    <w:p>
      <w:pPr>
        <w:pStyle w:val="BodyTextIndent211"/>
        <w:widowControl w:val="false"/>
        <w:ind w:firstLine="709" w:left="0" w:right="0"/>
        <w:rPr>
          <w:highlight w:val="none"/>
          <w:shd w:fill="FFFFFF" w:val="clear"/>
        </w:rPr>
      </w:pPr>
      <w:r>
        <w:rPr>
          <w:shd w:fill="FFFFFF" w:val="clea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BodyTextIndent211"/>
        <w:widowControl w:val="false"/>
        <w:ind w:firstLine="709" w:left="0" w:right="0"/>
        <w:rPr>
          <w:highlight w:val="none"/>
          <w:shd w:fill="FFFFFF" w:val="clear"/>
        </w:rPr>
      </w:pPr>
      <w:r>
        <w:rPr>
          <w:shd w:fill="FFFFFF" w:val="clea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
        <w:widowControl w:val="false"/>
        <w:tabs>
          <w:tab w:val="clear" w:pos="284"/>
          <w:tab w:val="left" w:pos="0" w:leader="none"/>
        </w:tabs>
        <w:ind w:firstLine="851" w:left="0" w:right="0"/>
        <w:jc w:val="center"/>
        <w:rPr>
          <w:b/>
          <w:highlight w:val="none"/>
          <w:shd w:fill="FFFFFF" w:val="clear"/>
        </w:rPr>
      </w:pPr>
      <w:r>
        <w:rPr>
          <w:b/>
          <w:shd w:fill="FFFFFF" w:val="clear"/>
        </w:rPr>
      </w:r>
    </w:p>
    <w:p>
      <w:pPr>
        <w:pStyle w:val="BodyText211"/>
        <w:widowControl w:val="false"/>
        <w:tabs>
          <w:tab w:val="clear" w:pos="284"/>
          <w:tab w:val="left" w:pos="0" w:leader="none"/>
        </w:tabs>
        <w:ind w:firstLine="851" w:left="0" w:right="0"/>
        <w:jc w:val="center"/>
        <w:rPr>
          <w:highlight w:val="none"/>
          <w:shd w:fill="FFFFFF" w:val="clear"/>
        </w:rPr>
      </w:pPr>
      <w:r>
        <w:rPr>
          <w:b/>
          <w:shd w:fill="FFFFFF" w:val="clear"/>
        </w:rPr>
        <w:t>14. Переход права собственности на федеральное имущество</w:t>
      </w:r>
    </w:p>
    <w:p>
      <w:pPr>
        <w:pStyle w:val="BodyText211"/>
        <w:widowControl w:val="false"/>
        <w:tabs>
          <w:tab w:val="clear" w:pos="284"/>
          <w:tab w:val="left" w:pos="0" w:leader="none"/>
        </w:tabs>
        <w:ind w:firstLine="851" w:left="0" w:right="0"/>
        <w:jc w:val="center"/>
        <w:rPr>
          <w:b/>
          <w:highlight w:val="none"/>
          <w:shd w:fill="FFFFFF" w:val="clear"/>
        </w:rPr>
      </w:pPr>
      <w:r>
        <w:rPr>
          <w:b/>
          <w:shd w:fill="FFFFFF" w:val="clear"/>
        </w:rPr>
      </w:r>
    </w:p>
    <w:p>
      <w:pPr>
        <w:pStyle w:val="BodyTextIndent211"/>
        <w:widowControl w:val="false"/>
        <w:ind w:firstLine="709" w:left="0" w:right="0"/>
        <w:rPr>
          <w:highlight w:val="none"/>
          <w:shd w:fill="FFFFFF" w:val="clear"/>
        </w:rPr>
      </w:pPr>
      <w:r>
        <w:rPr>
          <w:shd w:fill="FFFFFF" w:val="clea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
        <w:widowControl w:val="false"/>
        <w:spacing w:before="0" w:after="0"/>
        <w:ind w:firstLine="709" w:left="0" w:right="0"/>
        <w:rPr>
          <w:highlight w:val="none"/>
          <w:shd w:fill="FFFFFF" w:val="clear"/>
        </w:rPr>
      </w:pPr>
      <w:r>
        <w:rPr>
          <w:b w:val="false"/>
          <w:sz w:val="24"/>
          <w:shd w:fill="FFFFFF" w:val="clear"/>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widowControl w:val="false"/>
        <w:tabs>
          <w:tab w:val="clear" w:pos="720"/>
          <w:tab w:val="left" w:pos="0" w:leader="none"/>
        </w:tabs>
        <w:rPr>
          <w:b/>
          <w:highlight w:val="none"/>
          <w:shd w:fill="FFFFFF" w:val="clear"/>
        </w:rPr>
      </w:pPr>
      <w:r>
        <w:rPr>
          <w:b/>
          <w:shd w:fill="FFFFFF" w:val="clear"/>
        </w:rPr>
      </w:r>
    </w:p>
    <w:p>
      <w:pPr>
        <w:pStyle w:val="BodyTextIndent311"/>
        <w:widowControl w:val="false"/>
        <w:tabs>
          <w:tab w:val="clear" w:pos="720"/>
          <w:tab w:val="left" w:pos="1080" w:leader="none"/>
        </w:tabs>
        <w:spacing w:before="0" w:after="0"/>
        <w:ind w:firstLine="851" w:left="0" w:right="0"/>
        <w:jc w:val="center"/>
        <w:rPr>
          <w:highlight w:val="none"/>
          <w:shd w:fill="FFFFFF" w:val="clear"/>
        </w:rPr>
      </w:pPr>
      <w:r>
        <w:rPr>
          <w:sz w:val="24"/>
          <w:shd w:fill="FFFFFF" w:val="clear"/>
        </w:rPr>
        <w:t>15. Заключительные положения</w:t>
      </w:r>
    </w:p>
    <w:p>
      <w:pPr>
        <w:pStyle w:val="BodyTextIndent311"/>
        <w:widowControl w:val="false"/>
        <w:tabs>
          <w:tab w:val="clear" w:pos="720"/>
          <w:tab w:val="left" w:pos="1080" w:leader="none"/>
        </w:tabs>
        <w:spacing w:before="0" w:after="0"/>
        <w:ind w:firstLine="851" w:left="0" w:right="0"/>
        <w:jc w:val="center"/>
        <w:rPr>
          <w:sz w:val="24"/>
          <w:highlight w:val="none"/>
          <w:shd w:fill="FFFFFF" w:val="clear"/>
        </w:rPr>
      </w:pPr>
      <w:r>
        <w:rPr>
          <w:sz w:val="24"/>
          <w:shd w:fill="FFFFFF" w:val="clear"/>
        </w:rPr>
      </w:r>
    </w:p>
    <w:p>
      <w:pPr>
        <w:pStyle w:val="Normal"/>
        <w:widowControl w:val="false"/>
        <w:ind w:firstLine="851" w:left="0" w:right="0"/>
        <w:jc w:val="both"/>
        <w:rPr>
          <w:highlight w:val="none"/>
          <w:shd w:fill="FFFFFF" w:val="clear"/>
        </w:rPr>
      </w:pPr>
      <w:r>
        <w:rPr>
          <w:shd w:fill="FFFFFF" w:val="clea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Tahoma">
    <w:charset w:val="01"/>
    <w:family w:val="roman"/>
    <w:pitch w:val="variable"/>
  </w:font>
  <w:font w:name="Verdana">
    <w:charset w:val="01"/>
    <w:family w:val="roman"/>
    <w:pitch w:val="variable"/>
  </w:font>
  <w:font w:name="Liberation Sans">
    <w:altName w:val="Arial"/>
    <w:charset w:val="01"/>
    <w:family w:val="roman"/>
    <w:pitch w:val="variable"/>
  </w:font>
  <w:font w:name="Liberation Sans">
    <w:altName w:val="Arial"/>
    <w:charset w:val="01"/>
    <w:family w:val="swiss"/>
    <w:pitch w:val="variable"/>
  </w:font>
  <w:font w:name="TimesNewRoman">
    <w:altName w:val="Bold"/>
    <w:charset w:val="01"/>
    <w:family w:val="roman"/>
    <w:pitch w:val="variable"/>
  </w:font>
  <w:font w:name="TimesNew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val="false"/>
      <w:spacing w:before="240" w:after="60"/>
      <w:outlineLvl w:val="0"/>
    </w:pPr>
    <w:rPr>
      <w:rFonts w:ascii="Arial" w:hAnsi="Arial"/>
      <w:b/>
      <w:sz w:val="32"/>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suppressAutoHyphens w:val="true"/>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paragraph" w:styleId="Heading6">
    <w:name w:val="Heading 6"/>
    <w:basedOn w:val="Normal"/>
    <w:next w:val="Normal"/>
    <w:uiPriority w:val="9"/>
    <w:qFormat/>
    <w:pPr>
      <w:keepNext w:val="true"/>
      <w:keepLines/>
      <w:widowControl/>
      <w:spacing w:before="320" w:after="200"/>
      <w:outlineLvl w:val="5"/>
    </w:pPr>
    <w:rPr>
      <w:rFonts w:ascii="Arial" w:hAnsi="Arial"/>
      <w:b/>
      <w:sz w:val="22"/>
    </w:rPr>
  </w:style>
  <w:style w:type="paragraph" w:styleId="Heading7">
    <w:name w:val="Heading 7"/>
    <w:basedOn w:val="Normal"/>
    <w:next w:val="Normal"/>
    <w:uiPriority w:val="9"/>
    <w:qFormat/>
    <w:pPr>
      <w:keepNext w:val="true"/>
      <w:keepLines/>
      <w:widowControl/>
      <w:spacing w:before="320" w:after="200"/>
      <w:outlineLvl w:val="6"/>
    </w:pPr>
    <w:rPr>
      <w:rFonts w:ascii="Arial" w:hAnsi="Arial"/>
      <w:b/>
      <w:i/>
      <w:sz w:val="22"/>
    </w:rPr>
  </w:style>
  <w:style w:type="paragraph" w:styleId="Heading8">
    <w:name w:val="Heading 8"/>
    <w:basedOn w:val="Normal"/>
    <w:next w:val="Normal"/>
    <w:uiPriority w:val="9"/>
    <w:qFormat/>
    <w:pPr>
      <w:keepNext w:val="true"/>
      <w:keepLines/>
      <w:widowControl/>
      <w:spacing w:before="320" w:after="200"/>
      <w:outlineLvl w:val="7"/>
    </w:pPr>
    <w:rPr>
      <w:rFonts w:ascii="Arial" w:hAnsi="Arial"/>
      <w:i/>
      <w:sz w:val="22"/>
    </w:rPr>
  </w:style>
  <w:style w:type="paragraph" w:styleId="Heading9">
    <w:name w:val="Heading 9"/>
    <w:basedOn w:val="Normal"/>
    <w:next w:val="Normal"/>
    <w:uiPriority w:val="9"/>
    <w:qFormat/>
    <w:pPr>
      <w:keepNext w:val="true"/>
      <w:keepLines/>
      <w:widowControl/>
      <w:spacing w:before="320" w:after="200"/>
      <w:outlineLvl w:val="8"/>
    </w:pPr>
    <w:rPr>
      <w:rFonts w:ascii="Arial" w:hAnsi="Arial"/>
      <w:i/>
      <w:sz w:val="21"/>
    </w:rPr>
  </w:style>
  <w:style w:type="character" w:styleId="Contents5">
    <w:name w:val="Contents 5"/>
    <w:link w:val="Contents52"/>
    <w:qFormat/>
    <w:rPr>
      <w:rFonts w:ascii="XO Thames" w:hAnsi="XO Thames"/>
      <w:sz w:val="28"/>
    </w:rPr>
  </w:style>
  <w:style w:type="character" w:styleId="CaptionChar">
    <w:name w:val="Caption Char"/>
    <w:basedOn w:val="DefaultParagraphFont"/>
    <w:link w:val="CaptionChar1"/>
    <w:qFormat/>
    <w:rPr>
      <w:b/>
      <w:color w:themeColor="accent1" w:val="5B9BD5"/>
      <w:sz w:val="18"/>
    </w:rPr>
  </w:style>
  <w:style w:type="character" w:styleId="Contents2">
    <w:name w:val="Contents 2"/>
    <w:qFormat/>
    <w:rPr>
      <w:rFonts w:ascii="XO Thames" w:hAnsi="XO Thames"/>
      <w:color w:val="000000"/>
      <w:spacing w:val="0"/>
      <w:sz w:val="28"/>
    </w:rPr>
  </w:style>
  <w:style w:type="character" w:styleId="Title1">
    <w:name w:val="Title1"/>
    <w:link w:val="Title11"/>
    <w:qFormat/>
    <w:rPr>
      <w:rFonts w:ascii="XO Thames" w:hAnsi="XO Thames"/>
      <w:b/>
      <w:caps/>
      <w:sz w:val="40"/>
    </w:rPr>
  </w:style>
  <w:style w:type="character" w:styleId="BodyTextIndented">
    <w:name w:val="Body Text, Indented"/>
    <w:link w:val="BodyTextIndented1"/>
    <w:qFormat/>
    <w:rPr>
      <w:sz w:val="20"/>
    </w:rPr>
  </w:style>
  <w:style w:type="character" w:styleId="List1">
    <w:name w:val="List1"/>
    <w:basedOn w:val="Textbody1"/>
    <w:qFormat/>
    <w:rPr/>
  </w:style>
  <w:style w:type="character" w:styleId="Contents4">
    <w:name w:val="Contents 4"/>
    <w:qFormat/>
    <w:rPr>
      <w:rFonts w:ascii="XO Thames" w:hAnsi="XO Thames"/>
      <w:color w:val="000000"/>
      <w:spacing w:val="0"/>
      <w:sz w:val="28"/>
    </w:rPr>
  </w:style>
  <w:style w:type="character" w:styleId="Heading71">
    <w:name w:val="Heading 71"/>
    <w:qFormat/>
    <w:rPr>
      <w:rFonts w:ascii="Arial" w:hAnsi="Arial"/>
      <w:b/>
      <w:i/>
      <w:sz w:val="22"/>
    </w:rPr>
  </w:style>
  <w:style w:type="character" w:styleId="annotationtext1">
    <w:name w:val="annotation text1"/>
    <w:link w:val="annotationtext11"/>
    <w:qFormat/>
    <w:rPr>
      <w:rFonts w:ascii="Calibri" w:hAnsi="Calibri" w:asciiTheme="minorAscii" w:hAnsiTheme="minorHAnsi"/>
      <w:sz w:val="20"/>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Contents41">
    <w:name w:val="Contents 41"/>
    <w:link w:val="Contents42"/>
    <w:qFormat/>
    <w:rPr>
      <w:rFonts w:ascii="XO Thames" w:hAnsi="XO Thames"/>
      <w:sz w:val="28"/>
    </w:rPr>
  </w:style>
  <w:style w:type="character" w:styleId="Quote">
    <w:name w:val="Quote"/>
    <w:link w:val="Quote1"/>
    <w:qFormat/>
    <w:rPr>
      <w:i/>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Contents61">
    <w:name w:val="Contents 61"/>
    <w:link w:val="Contents62"/>
    <w:qFormat/>
    <w:rPr>
      <w:rFonts w:ascii="XO Thames" w:hAnsi="XO Thames"/>
      <w:sz w:val="28"/>
    </w:rPr>
  </w:style>
  <w:style w:type="character" w:styleId="NormalWeb1">
    <w:name w:val="Normal (Web)1"/>
    <w:link w:val="NormalWeb11"/>
    <w:qFormat/>
    <w:rPr/>
  </w:style>
  <w:style w:type="character" w:styleId="FooterChar">
    <w:name w:val="Footer Char"/>
    <w:basedOn w:val="DefaultParagraphFont"/>
    <w:link w:val="FooterChar1"/>
    <w:qFormat/>
    <w:rPr/>
  </w:style>
  <w:style w:type="character" w:styleId="Contents3">
    <w:name w:val="Contents 3"/>
    <w:link w:val="Contents32"/>
    <w:qFormat/>
    <w:rPr>
      <w:rFonts w:ascii="XO Thames" w:hAnsi="XO Thames"/>
      <w:sz w:val="28"/>
    </w:rPr>
  </w:style>
  <w:style w:type="character" w:styleId="InternetLink">
    <w:name w:val="Internet Link"/>
    <w:qFormat/>
    <w:rPr>
      <w:rFonts w:ascii="Calibri" w:hAnsi="Calibri"/>
      <w:color w:val="0000FF"/>
      <w:spacing w:val="0"/>
      <w:sz w:val="22"/>
      <w:u w:val="single"/>
    </w:rPr>
  </w:style>
  <w:style w:type="character" w:styleId="Contents9">
    <w:name w:val="Contents 9"/>
    <w:link w:val="Contents92"/>
    <w:qFormat/>
    <w:rPr>
      <w:rFonts w:ascii="XO Thames" w:hAnsi="XO Thames"/>
      <w:sz w:val="28"/>
    </w:rPr>
  </w:style>
  <w:style w:type="character" w:styleId="ConsPlusNormal1">
    <w:name w:val="ConsPlusNormal1"/>
    <w:link w:val="ConsPlusNormal11"/>
    <w:qFormat/>
    <w:rPr>
      <w:rFonts w:ascii="Arial" w:hAnsi="Arial"/>
      <w:color w:val="000000"/>
      <w:spacing w:val="0"/>
      <w:sz w:val="20"/>
    </w:rPr>
  </w:style>
  <w:style w:type="character" w:styleId="Footer1">
    <w:name w:val="Footer1"/>
    <w:qFormat/>
    <w:rPr>
      <w:rFonts w:ascii="Calibri" w:hAnsi="Calibri" w:asciiTheme="minorAscii" w:hAnsiTheme="minorHAnsi"/>
      <w:sz w:val="22"/>
    </w:rPr>
  </w:style>
  <w:style w:type="character" w:styleId="Heading5Char">
    <w:name w:val="Heading 5 Char"/>
    <w:basedOn w:val="DefaultParagraphFont"/>
    <w:link w:val="Heading5Char1"/>
    <w:qFormat/>
    <w:rPr>
      <w:rFonts w:ascii="Arial" w:hAnsi="Arial"/>
      <w:b/>
      <w:sz w:val="24"/>
    </w:rPr>
  </w:style>
  <w:style w:type="character" w:styleId="TextBasTxt1">
    <w:name w:val="TextBasTxt1"/>
    <w:link w:val="TextBasTxt11"/>
    <w:qFormat/>
    <w:rPr/>
  </w:style>
  <w:style w:type="character" w:styleId="Heading91">
    <w:name w:val="Heading 91"/>
    <w:qFormat/>
    <w:rPr>
      <w:rFonts w:ascii="Arial" w:hAnsi="Arial"/>
      <w:i/>
      <w:sz w:val="21"/>
    </w:rPr>
  </w:style>
  <w:style w:type="character" w:styleId="annotationreference1">
    <w:name w:val="annotation reference1"/>
    <w:basedOn w:val="DefaultParagraphFont1"/>
    <w:link w:val="annotationreference11"/>
    <w:qFormat/>
    <w:rPr>
      <w:sz w:val="16"/>
    </w:rPr>
  </w:style>
  <w:style w:type="character" w:styleId="Heading11">
    <w:name w:val="Heading 11"/>
    <w:link w:val="Heading111"/>
    <w:qFormat/>
    <w:rPr>
      <w:rFonts w:ascii="Arial" w:hAnsi="Arial"/>
      <w:b/>
      <w:sz w:val="32"/>
    </w:rPr>
  </w:style>
  <w:style w:type="character" w:styleId="Style5">
    <w:name w:val="Содержимое врезки"/>
    <w:link w:val="15"/>
    <w:qFormat/>
    <w:rPr/>
  </w:style>
  <w:style w:type="character" w:styleId="Contents1">
    <w:name w:val="Contents 1"/>
    <w:link w:val="Contents12"/>
    <w:qFormat/>
    <w:rPr>
      <w:rFonts w:ascii="XO Thames" w:hAnsi="XO Thames"/>
      <w:b/>
      <w:sz w:val="28"/>
    </w:rPr>
  </w:style>
  <w:style w:type="character" w:styleId="TitleChar">
    <w:name w:val="Title Char"/>
    <w:basedOn w:val="DefaultParagraphFont"/>
    <w:link w:val="TitleChar1"/>
    <w:qFormat/>
    <w:rPr>
      <w:sz w:val="48"/>
    </w:rPr>
  </w:style>
  <w:style w:type="character" w:styleId="HeaderChar">
    <w:name w:val="Header Char"/>
    <w:basedOn w:val="DefaultParagraphFont"/>
    <w:link w:val="HeaderChar1"/>
    <w:qFormat/>
    <w:rPr/>
  </w:style>
  <w:style w:type="character" w:styleId="Style6">
    <w:name w:val="Заголовок таблицы"/>
    <w:basedOn w:val="Style12"/>
    <w:link w:val="17"/>
    <w:qFormat/>
    <w:rPr>
      <w:b/>
    </w:rPr>
  </w:style>
  <w:style w:type="character" w:styleId="Contents31">
    <w:name w:val="Contents 31"/>
    <w:qFormat/>
    <w:rPr>
      <w:rFonts w:ascii="XO Thames" w:hAnsi="XO Thames"/>
      <w:color w:val="000000"/>
      <w:spacing w:val="0"/>
      <w:sz w:val="28"/>
    </w:rPr>
  </w:style>
  <w:style w:type="character" w:styleId="FontStyle131">
    <w:name w:val="Font Style131"/>
    <w:basedOn w:val="DefaultParagraphFont1"/>
    <w:link w:val="FontStyle1311"/>
    <w:qFormat/>
    <w:rPr>
      <w:rFonts w:ascii="Times New Roman" w:hAnsi="Times New Roman"/>
    </w:rPr>
  </w:style>
  <w:style w:type="character" w:styleId="FigureIndex1">
    <w:name w:val="Figure Index 1"/>
    <w:qFormat/>
    <w:rPr/>
  </w:style>
  <w:style w:type="character" w:styleId="BodyText31">
    <w:name w:val="Body Text 31"/>
    <w:link w:val="BodyText311"/>
    <w:qFormat/>
    <w:rPr>
      <w:sz w:val="28"/>
    </w:rPr>
  </w:style>
  <w:style w:type="character" w:styleId="DefaultParagraphFont1">
    <w:name w:val="Default Paragraph Font1"/>
    <w:link w:val="DefaultParagraphFont11"/>
    <w:qFormat/>
    <w:rPr>
      <w:rFonts w:ascii="Calibri" w:hAnsi="Calibri" w:asciiTheme="minorAscii" w:hAnsiTheme="minorHAnsi"/>
      <w:color w:val="000000"/>
      <w:spacing w:val="0"/>
      <w:sz w:val="22"/>
    </w:rPr>
  </w:style>
  <w:style w:type="character" w:styleId="ContentsHeading">
    <w:name w:val="Contents Heading"/>
    <w:qFormat/>
    <w:rPr/>
  </w:style>
  <w:style w:type="character" w:styleId="Style7">
    <w:name w:val="Указатель"/>
    <w:link w:val="112"/>
    <w:qFormat/>
    <w:rPr/>
  </w:style>
  <w:style w:type="character" w:styleId="SubtitleChar">
    <w:name w:val="Subtitle Char"/>
    <w:basedOn w:val="DefaultParagraphFont"/>
    <w:link w:val="SubtitleChar1"/>
    <w:qFormat/>
    <w:rPr>
      <w:sz w:val="24"/>
    </w:rPr>
  </w:style>
  <w:style w:type="character" w:styleId="Heading51">
    <w:name w:val="Heading 51"/>
    <w:link w:val="Heading511"/>
    <w:qFormat/>
    <w:rPr>
      <w:rFonts w:ascii="XO Thames" w:hAnsi="XO Thames"/>
      <w:b/>
      <w:sz w:val="22"/>
    </w:rPr>
  </w:style>
  <w:style w:type="character" w:styleId="BalloonText1">
    <w:name w:val="Balloon Text1"/>
    <w:link w:val="BalloonText11"/>
    <w:qFormat/>
    <w:rPr>
      <w:rFonts w:ascii="Tahoma" w:hAnsi="Tahoma"/>
      <w:sz w:val="16"/>
    </w:rPr>
  </w:style>
  <w:style w:type="character" w:styleId="Heading4Char">
    <w:name w:val="Heading 4 Char"/>
    <w:basedOn w:val="DefaultParagraphFont"/>
    <w:link w:val="Heading4Char1"/>
    <w:qFormat/>
    <w:rPr>
      <w:rFonts w:ascii="Arial" w:hAnsi="Arial"/>
      <w:b/>
      <w:sz w:val="26"/>
    </w:rPr>
  </w:style>
  <w:style w:type="character" w:styleId="Contents8">
    <w:name w:val="Contents 8"/>
    <w:link w:val="Contents82"/>
    <w:qFormat/>
    <w:rPr>
      <w:rFonts w:ascii="XO Thames" w:hAnsi="XO Thames"/>
      <w:sz w:val="28"/>
    </w:rPr>
  </w:style>
  <w:style w:type="character" w:styleId="BodyTextIndent21">
    <w:name w:val="Body Text Indent 21"/>
    <w:link w:val="BodyTextIndent211"/>
    <w:qFormat/>
    <w:rPr/>
  </w:style>
  <w:style w:type="character" w:styleId="Heading3Char">
    <w:name w:val="Heading 3 Char"/>
    <w:basedOn w:val="DefaultParagraphFont"/>
    <w:link w:val="Heading3Char1"/>
    <w:qFormat/>
    <w:rPr>
      <w:rFonts w:ascii="Arial" w:hAnsi="Arial"/>
      <w:sz w:val="30"/>
    </w:rPr>
  </w:style>
  <w:style w:type="character" w:styleId="Heading52">
    <w:name w:val="Heading 52"/>
    <w:qFormat/>
    <w:rPr>
      <w:rFonts w:ascii="XO Thames" w:hAnsi="XO Thames"/>
      <w:b/>
      <w:color w:val="000000"/>
      <w:spacing w:val="0"/>
      <w:sz w:val="22"/>
    </w:rPr>
  </w:style>
  <w:style w:type="character" w:styleId="Heading2Char">
    <w:name w:val="Heading 2 Char"/>
    <w:basedOn w:val="DefaultParagraphFont"/>
    <w:link w:val="Heading2Char1"/>
    <w:qFormat/>
    <w:rPr>
      <w:rFonts w:ascii="Arial" w:hAnsi="Arial"/>
      <w:sz w:val="34"/>
    </w:rPr>
  </w:style>
  <w:style w:type="character" w:styleId="NoSpacing">
    <w:name w:val="No Spacing"/>
    <w:link w:val="NoSpacing1"/>
    <w:qForma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basedOn w:val="DefaultParagraphFont"/>
    <w:link w:val="EndnoteCharacters11"/>
    <w:qFormat/>
    <w:rPr>
      <w:vertAlign w:val="superscript"/>
    </w:rPr>
  </w:style>
  <w:style w:type="character" w:styleId="Footnote1">
    <w:name w:val="Footnote1"/>
    <w:link w:val="Footnote11"/>
    <w:qFormat/>
    <w:rPr>
      <w:sz w:val="20"/>
    </w:rPr>
  </w:style>
  <w:style w:type="character" w:styleId="Heading12">
    <w:name w:val="Heading 12"/>
    <w:qFormat/>
    <w:rPr>
      <w:rFonts w:ascii="Arial" w:hAnsi="Arial"/>
      <w:b/>
      <w:sz w:val="32"/>
    </w:rPr>
  </w:style>
  <w:style w:type="character" w:styleId="Style8">
    <w:name w:val="Символ сноски"/>
    <w:link w:val="18"/>
    <w:qFormat/>
    <w:rPr>
      <w:rFonts w:ascii="Calibri" w:hAnsi="Calibri" w:asciiTheme="minorAscii" w:hAnsiTheme="minorHAnsi"/>
      <w:color w:val="000000"/>
      <w:spacing w:val="0"/>
      <w:sz w:val="22"/>
      <w:vertAlign w:val="superscript"/>
    </w:rPr>
  </w:style>
  <w:style w:type="character" w:styleId="Footnote">
    <w:name w:val="Footnote"/>
    <w:link w:val="Footnote2"/>
    <w:qFormat/>
    <w:rPr>
      <w:sz w:val="18"/>
    </w:rPr>
  </w:style>
  <w:style w:type="character" w:styleId="ListParagraph1">
    <w:name w:val="List Paragraph1"/>
    <w:link w:val="ListParagraph11"/>
    <w:qFormat/>
    <w:rPr>
      <w:rFonts w:ascii="Calibri" w:hAnsi="Calibri"/>
      <w:sz w:val="22"/>
    </w:rPr>
  </w:style>
  <w:style w:type="character" w:styleId="InternetLink1">
    <w:name w:val="Internet Link1"/>
    <w:link w:val="InternetLink2"/>
    <w:qFormat/>
    <w:rPr>
      <w:color w:val="0000FF"/>
      <w:u w:val="single"/>
    </w:rPr>
  </w:style>
  <w:style w:type="character" w:styleId="Heading81">
    <w:name w:val="Heading 81"/>
    <w:qFormat/>
    <w:rPr>
      <w:rFonts w:ascii="Arial" w:hAnsi="Arial"/>
      <w:i/>
      <w:sz w:val="22"/>
    </w:rPr>
  </w:style>
  <w:style w:type="character" w:styleId="Endnote1">
    <w:name w:val="Endnote1"/>
    <w:link w:val="Endnote11"/>
    <w:qFormat/>
    <w:rPr>
      <w:rFonts w:ascii="XO Thames" w:hAnsi="XO Thames"/>
      <w:color w:val="000000"/>
      <w:spacing w:val="0"/>
      <w:sz w:val="22"/>
    </w:rPr>
  </w:style>
  <w:style w:type="character" w:styleId="Contents11">
    <w:name w:val="Contents 11"/>
    <w:qFormat/>
    <w:rPr>
      <w:rFonts w:ascii="XO Thames" w:hAnsi="XO Thames"/>
      <w:b/>
      <w:color w:val="000000"/>
      <w:spacing w:val="0"/>
      <w:sz w:val="28"/>
    </w:rPr>
  </w:style>
  <w:style w:type="character" w:styleId="Heading41">
    <w:name w:val="Heading 41"/>
    <w:link w:val="Heading411"/>
    <w:qFormat/>
    <w:rPr>
      <w:rFonts w:ascii="XO Thames" w:hAnsi="XO Thames"/>
      <w:b/>
      <w:sz w:val="24"/>
    </w:rPr>
  </w:style>
  <w:style w:type="character" w:styleId="HeaderandFooter">
    <w:name w:val="Header and Footer"/>
    <w:link w:val="HeaderandFooter1"/>
    <w:qFormat/>
    <w:rPr>
      <w:rFonts w:ascii="XO Thames" w:hAnsi="XO Thames"/>
      <w:sz w:val="28"/>
    </w:rPr>
  </w:style>
  <w:style w:type="character" w:styleId="Footer11">
    <w:name w:val="Footer11"/>
    <w:link w:val="Footer12"/>
    <w:qFormat/>
    <w:rPr>
      <w:rFonts w:ascii="Calibri" w:hAnsi="Calibri" w:asciiTheme="minorAscii" w:hAnsiTheme="minorHAnsi"/>
      <w:sz w:val="22"/>
    </w:rPr>
  </w:style>
  <w:style w:type="character" w:styleId="TextBoldCenter1">
    <w:name w:val="TextBoldCenter1"/>
    <w:link w:val="TextBoldCenter11"/>
    <w:qFormat/>
    <w:rPr>
      <w:b/>
      <w:sz w:val="26"/>
    </w:rPr>
  </w:style>
  <w:style w:type="character" w:styleId="Contents21">
    <w:name w:val="Contents 21"/>
    <w:link w:val="Contents22"/>
    <w:qFormat/>
    <w:rPr>
      <w:rFonts w:ascii="XO Thames" w:hAnsi="XO Thames"/>
      <w:sz w:val="28"/>
    </w:rPr>
  </w:style>
  <w:style w:type="character" w:styleId="Heading21">
    <w:name w:val="Heading 21"/>
    <w:link w:val="Heading211"/>
    <w:qFormat/>
    <w:rPr>
      <w:b/>
      <w:sz w:val="36"/>
    </w:rPr>
  </w:style>
  <w:style w:type="character" w:styleId="Style51">
    <w:name w:val="Style51"/>
    <w:link w:val="Style511"/>
    <w:qFormat/>
    <w:rPr>
      <w:rFonts w:ascii="Calibri" w:hAnsi="Calibri"/>
    </w:rPr>
  </w:style>
  <w:style w:type="character" w:styleId="Contents91">
    <w:name w:val="Contents 91"/>
    <w:qFormat/>
    <w:rPr>
      <w:rFonts w:ascii="XO Thames" w:hAnsi="XO Thames"/>
      <w:color w:val="000000"/>
      <w:spacing w:val="0"/>
      <w:sz w:val="28"/>
    </w:rPr>
  </w:style>
  <w:style w:type="character" w:styleId="Textbody">
    <w:name w:val="Text body"/>
    <w:link w:val="Textbody2"/>
    <w:qFormat/>
    <w:rPr/>
  </w:style>
  <w:style w:type="character" w:styleId="1">
    <w:name w:val="Знак1"/>
    <w:link w:val="113"/>
    <w:qFormat/>
    <w:rPr/>
  </w:style>
  <w:style w:type="character" w:styleId="Contents71">
    <w:name w:val="Contents 71"/>
    <w:link w:val="Contents72"/>
    <w:qFormat/>
    <w:rPr>
      <w:rFonts w:ascii="XO Thames" w:hAnsi="XO Thames"/>
      <w:sz w:val="28"/>
    </w:rPr>
  </w:style>
  <w:style w:type="character" w:styleId="Style9">
    <w:name w:val="Колонтитул"/>
    <w:link w:val="19"/>
    <w:qFormat/>
    <w:rPr>
      <w:rFonts w:ascii="XO Thames" w:hAnsi="XO Thames"/>
      <w:color w:val="000000"/>
      <w:spacing w:val="0"/>
      <w:sz w:val="28"/>
    </w:rPr>
  </w:style>
  <w:style w:type="character" w:styleId="FontStyle111">
    <w:name w:val="Font Style111"/>
    <w:basedOn w:val="DefaultParagraphFont1"/>
    <w:link w:val="FontStyle1111"/>
    <w:qFormat/>
    <w:rPr>
      <w:rFonts w:ascii="Times New Roman" w:hAnsi="Times New Roman"/>
      <w:b/>
      <w:sz w:val="20"/>
    </w:rPr>
  </w:style>
  <w:style w:type="character"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link w:val="11111"/>
    <w:qFormat/>
    <w:rPr>
      <w:rFonts w:ascii="Verdana" w:hAnsi="Verdana"/>
      <w:sz w:val="20"/>
    </w:rPr>
  </w:style>
  <w:style w:type="character" w:styleId="pagenumber1">
    <w:name w:val="page number1"/>
    <w:basedOn w:val="DefaultParagraphFont1"/>
    <w:link w:val="pagenumber11"/>
    <w:qFormat/>
    <w:rPr/>
  </w:style>
  <w:style w:type="character" w:styleId="Contents81">
    <w:name w:val="Contents 81"/>
    <w:qFormat/>
    <w:rPr>
      <w:rFonts w:ascii="XO Thames" w:hAnsi="XO Thames"/>
      <w:color w:val="000000"/>
      <w:spacing w:val="0"/>
      <w:sz w:val="28"/>
    </w:rPr>
  </w:style>
  <w:style w:type="character" w:styleId="11">
    <w:name w:val="Обычный11"/>
    <w:link w:val="1112"/>
    <w:qFormat/>
    <w:rPr>
      <w:rFonts w:ascii="Times New Roman" w:hAnsi="Times New Roman"/>
      <w:color w:val="000000"/>
      <w:spacing w:val="0"/>
      <w:sz w:val="22"/>
    </w:rPr>
  </w:style>
  <w:style w:type="character" w:styleId="Header1">
    <w:name w:val="Header1"/>
    <w:qFormat/>
    <w:rPr>
      <w:sz w:val="20"/>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link w:val="FootnoteCharacters11"/>
    <w:qFormat/>
    <w:rPr>
      <w:vertAlign w:val="superscript"/>
    </w:rPr>
  </w:style>
  <w:style w:type="character" w:styleId="Style11">
    <w:name w:val="Style11"/>
    <w:link w:val="Style111"/>
    <w:qFormat/>
    <w:rPr>
      <w:rFonts w:ascii="Calibri" w:hAnsi="Calibri"/>
    </w:rPr>
  </w:style>
  <w:style w:type="character" w:styleId="Heading1Char">
    <w:name w:val="Heading 1 Char"/>
    <w:basedOn w:val="DefaultParagraphFont"/>
    <w:link w:val="Heading1Char1"/>
    <w:qFormat/>
    <w:rPr>
      <w:rFonts w:ascii="Arial" w:hAnsi="Arial"/>
      <w:sz w:val="40"/>
    </w:rPr>
  </w:style>
  <w:style w:type="character" w:styleId="Textbody1">
    <w:name w:val="Text body1"/>
    <w:qFormat/>
    <w:rPr/>
  </w:style>
  <w:style w:type="character" w:styleId="Contents51">
    <w:name w:val="Contents 51"/>
    <w:qFormat/>
    <w:rPr>
      <w:rFonts w:ascii="XO Thames" w:hAnsi="XO Thames"/>
      <w:color w:val="000000"/>
      <w:spacing w:val="0"/>
      <w:sz w:val="28"/>
    </w:rPr>
  </w:style>
  <w:style w:type="character" w:styleId="Style10">
    <w:name w:val="Заголовок"/>
    <w:link w:val="111"/>
    <w:qFormat/>
    <w:rPr>
      <w:rFonts w:ascii="Liberation Sans" w:hAnsi="Liberation Sans"/>
      <w:sz w:val="28"/>
    </w:rPr>
  </w:style>
  <w:style w:type="character" w:styleId="Style12">
    <w:name w:val="Содержимое таблицы"/>
    <w:link w:val="16"/>
    <w:qFormat/>
    <w:rPr/>
  </w:style>
  <w:style w:type="character" w:styleId="IntenseQuote">
    <w:name w:val="Intense Quote"/>
    <w:link w:val="IntenseQuote1"/>
    <w:qFormat/>
    <w:rPr>
      <w:i/>
    </w:rPr>
  </w:style>
  <w:style w:type="character" w:styleId="Caption1">
    <w:name w:val="Caption1"/>
    <w:qFormat/>
    <w:rPr>
      <w:i/>
      <w:sz w:val="24"/>
    </w:rPr>
  </w:style>
  <w:style w:type="character" w:styleId="DefaultParagraphFont">
    <w:name w:val="Default Paragraph Font"/>
    <w:link w:val="DefaultParagraphFont2"/>
    <w:qFormat/>
    <w:rPr/>
  </w:style>
  <w:style w:type="character" w:styleId="Subtitle1">
    <w:name w:val="Subtitle1"/>
    <w:qFormat/>
    <w:rPr>
      <w:rFonts w:ascii="XO Thames" w:hAnsi="XO Thames"/>
      <w:i/>
      <w:color w:val="000000"/>
      <w:spacing w:val="0"/>
      <w:sz w:val="24"/>
    </w:rPr>
  </w:style>
  <w:style w:type="character" w:styleId="Heading311">
    <w:name w:val="Heading 311"/>
    <w:link w:val="Heading312"/>
    <w:qFormat/>
    <w:rPr>
      <w:rFonts w:ascii="XO Thames" w:hAnsi="XO Thames"/>
      <w:b/>
      <w:sz w:val="26"/>
    </w:rPr>
  </w:style>
  <w:style w:type="character" w:styleId="12">
    <w:name w:val="Знак Знак Знак Знак1"/>
    <w:link w:val="114"/>
    <w:qFormat/>
    <w:rPr/>
  </w:style>
  <w:style w:type="character" w:styleId="ListParagraph">
    <w:name w:val="List Paragraph"/>
    <w:link w:val="ListParagraph2"/>
    <w:qFormat/>
    <w:rPr/>
  </w:style>
  <w:style w:type="character" w:styleId="BodyTextIndent31">
    <w:name w:val="Body Text Indent 31"/>
    <w:link w:val="BodyTextIndent311"/>
    <w:qFormat/>
    <w:rPr>
      <w:b/>
      <w:sz w:val="28"/>
    </w:rPr>
  </w:style>
  <w:style w:type="character" w:styleId="Textbodyindent">
    <w:name w:val="Text body indent"/>
    <w:qFormat/>
    <w:rPr>
      <w:sz w:val="20"/>
    </w:rPr>
  </w:style>
  <w:style w:type="character" w:styleId="Title2">
    <w:name w:val="Title2"/>
    <w:qFormat/>
    <w:rPr>
      <w:rFonts w:ascii="XO Thames" w:hAnsi="XO Thames"/>
      <w:b/>
      <w:caps/>
      <w:color w:val="000000"/>
      <w:spacing w:val="0"/>
      <w:sz w:val="40"/>
    </w:rPr>
  </w:style>
  <w:style w:type="character" w:styleId="BodyText21">
    <w:name w:val="Body Text 21"/>
    <w:link w:val="BodyText211"/>
    <w:qFormat/>
    <w:rPr/>
  </w:style>
  <w:style w:type="character" w:styleId="Heading42">
    <w:name w:val="Heading 42"/>
    <w:qFormat/>
    <w:rPr>
      <w:rFonts w:ascii="XO Thames" w:hAnsi="XO Thames"/>
      <w:b/>
      <w:color w:val="000000"/>
      <w:spacing w:val="0"/>
      <w:sz w:val="24"/>
    </w:rPr>
  </w:style>
  <w:style w:type="character" w:styleId="Header11">
    <w:name w:val="Header11"/>
    <w:link w:val="Header12"/>
    <w:qFormat/>
    <w:rPr>
      <w:sz w:val="20"/>
    </w:rPr>
  </w:style>
  <w:style w:type="character" w:styleId="Subtitle11">
    <w:name w:val="Subtitle11"/>
    <w:link w:val="Subtitle12"/>
    <w:qFormat/>
    <w:rPr>
      <w:rFonts w:ascii="XO Thames" w:hAnsi="XO Thames"/>
      <w:i/>
      <w:sz w:val="24"/>
    </w:rPr>
  </w:style>
  <w:style w:type="character" w:styleId="Heading22">
    <w:name w:val="Heading 22"/>
    <w:qFormat/>
    <w:rPr>
      <w:b/>
      <w:sz w:val="36"/>
    </w:rPr>
  </w:style>
  <w:style w:type="character" w:styleId="annotationsubject1">
    <w:name w:val="annotation subject1"/>
    <w:basedOn w:val="annotationtext1"/>
    <w:link w:val="annotationsubject11"/>
    <w:qFormat/>
    <w:rPr>
      <w:b/>
    </w:rPr>
  </w:style>
  <w:style w:type="character" w:styleId="Heading61">
    <w:name w:val="Heading 61"/>
    <w:qFormat/>
    <w:rPr>
      <w:rFonts w:ascii="Arial" w:hAnsi="Arial"/>
      <w:b/>
      <w:sz w:val="22"/>
    </w:rPr>
  </w:style>
  <w:style w:type="character" w:styleId="Hyperlink">
    <w:name w:val="Hyperlink"/>
    <w:rPr>
      <w:color w:val="000080"/>
      <w:u w:val="single"/>
    </w:rPr>
  </w:style>
  <w:style w:type="paragraph" w:styleId="13">
    <w:name w:val="Заголовок1"/>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widowControl w:val="false"/>
      <w:jc w:val="both"/>
    </w:pPr>
    <w:rPr/>
  </w:style>
  <w:style w:type="paragraph" w:styleId="List">
    <w:name w:val="List"/>
    <w:basedOn w:val="BodyText"/>
    <w:pPr/>
    <w:rPr/>
  </w:style>
  <w:style w:type="paragraph" w:styleId="Caption">
    <w:name w:val="Caption"/>
    <w:basedOn w:val="Normal"/>
    <w:qFormat/>
    <w:pPr>
      <w:widowControl w:val="false"/>
      <w:spacing w:before="120" w:after="120"/>
    </w:pPr>
    <w:rPr>
      <w:i/>
      <w:sz w:val="24"/>
    </w:rPr>
  </w:style>
  <w:style w:type="paragraph" w:styleId="14">
    <w:name w:val="Указатель1"/>
    <w:basedOn w:val="Normal"/>
    <w:qFormat/>
    <w:pPr>
      <w:suppressLineNumbers/>
    </w:pPr>
    <w:rPr>
      <w:rFonts w:cs="Droid Sans"/>
    </w:rPr>
  </w:style>
  <w:style w:type="paragraph" w:styleId="111">
    <w:name w:val="Заголовок11"/>
    <w:basedOn w:val="Normal"/>
    <w:next w:val="BodyText"/>
    <w:link w:val="Style10"/>
    <w:qFormat/>
    <w:pPr>
      <w:keepNext w:val="true"/>
      <w:widowControl w:val="false"/>
      <w:spacing w:before="240" w:after="120"/>
    </w:pPr>
    <w:rPr>
      <w:rFonts w:ascii="Liberation Sans" w:hAnsi="Liberation Sans"/>
      <w:sz w:val="28"/>
    </w:rPr>
  </w:style>
  <w:style w:type="paragraph" w:styleId="112">
    <w:name w:val="Указатель11"/>
    <w:basedOn w:val="Normal"/>
    <w:link w:val="Style7"/>
    <w:qFormat/>
    <w:pPr/>
    <w:rPr/>
  </w:style>
  <w:style w:type="paragraph" w:styleId="Contents52">
    <w:name w:val="Contents 52"/>
    <w:link w:val="Contents5"/>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aptionChar1">
    <w:name w:val="Caption Char1"/>
    <w:basedOn w:val="DefaultParagraphFont2"/>
    <w:link w:val="CaptionChar"/>
    <w:qFormat/>
    <w:pPr/>
    <w:rPr>
      <w:b/>
      <w:color w:themeColor="accent1" w:val="5B9BD5"/>
      <w:sz w:val="18"/>
    </w:rPr>
  </w:style>
  <w:style w:type="paragraph" w:styleId="TOC2">
    <w:name w:val="TOC 2"/>
    <w:next w:val="Normal"/>
    <w:uiPriority w:val="39"/>
    <w:pPr>
      <w:widowControl/>
      <w:suppressAutoHyphens w:val="true"/>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Title11">
    <w:name w:val="Title11"/>
    <w:link w:val="Title1"/>
    <w:qFormat/>
    <w:pPr>
      <w:widowControl w:val="false"/>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BodyTextIndented1">
    <w:name w:val="Body Text, Indented1"/>
    <w:basedOn w:val="Normal"/>
    <w:link w:val="BodyTextIndented"/>
    <w:qFormat/>
    <w:pPr>
      <w:widowControl w:val="false"/>
      <w:spacing w:before="0" w:after="120"/>
      <w:ind w:hanging="0" w:left="283"/>
    </w:pPr>
    <w:rPr>
      <w:sz w:val="20"/>
    </w:rPr>
  </w:style>
  <w:style w:type="paragraph" w:styleId="TOC4">
    <w:name w:val="TOC 4"/>
    <w:next w:val="Normal"/>
    <w:uiPriority w:val="39"/>
    <w:pPr>
      <w:widowControl/>
      <w:suppressAutoHyphens w:val="true"/>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annotationtext11">
    <w:name w:val="annotation text11"/>
    <w:basedOn w:val="Normal"/>
    <w:link w:val="annotationtext1"/>
    <w:qFormat/>
    <w:pPr>
      <w:widowControl w:val="false"/>
      <w:spacing w:before="0" w:after="160"/>
    </w:pPr>
    <w:rPr>
      <w:rFonts w:ascii="Calibri" w:hAnsi="Calibri" w:asciiTheme="minorAscii" w:hAnsiTheme="minorHAnsi"/>
      <w:sz w:val="20"/>
    </w:rPr>
  </w:style>
  <w:style w:type="paragraph" w:styleId="TOC6">
    <w:name w:val="TOC 6"/>
    <w:next w:val="Normal"/>
    <w:uiPriority w:val="39"/>
    <w:pPr>
      <w:widowControl/>
      <w:suppressAutoHyphens w:val="true"/>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Contents42">
    <w:name w:val="Contents 42"/>
    <w:link w:val="Contents4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Quote1">
    <w:name w:val="Quote1"/>
    <w:basedOn w:val="Normal"/>
    <w:next w:val="Normal"/>
    <w:link w:val="Quote"/>
    <w:qFormat/>
    <w:pPr>
      <w:widowControl/>
      <w:ind w:left="720" w:right="720"/>
    </w:pPr>
    <w:rPr>
      <w:i/>
    </w:rPr>
  </w:style>
  <w:style w:type="paragraph" w:styleId="Endnote2">
    <w:name w:val="Endnote2"/>
    <w:link w:val="Endnote"/>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Contents62">
    <w:name w:val="Contents 62"/>
    <w:link w:val="Contents6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NormalWeb11">
    <w:name w:val="Normal (Web)11"/>
    <w:basedOn w:val="Normal"/>
    <w:link w:val="NormalWeb1"/>
    <w:qFormat/>
    <w:pPr>
      <w:widowControl w:val="false"/>
      <w:spacing w:beforeAutospacing="1" w:afterAutospacing="1"/>
    </w:pPr>
    <w:rPr/>
  </w:style>
  <w:style w:type="paragraph" w:styleId="FooterChar1">
    <w:name w:val="Footer Char1"/>
    <w:basedOn w:val="DefaultParagraphFont2"/>
    <w:link w:val="FooterChar"/>
    <w:qFormat/>
    <w:pPr/>
    <w:rPr/>
  </w:style>
  <w:style w:type="paragraph" w:styleId="Contents32">
    <w:name w:val="Contents 32"/>
    <w:link w:val="Contents3"/>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Internetlink11">
    <w:name w:val="Internet link11"/>
    <w:qFormat/>
    <w:pPr>
      <w:widowControl/>
      <w:suppressAutoHyphens w:val="true"/>
      <w:bidi w:val="0"/>
      <w:spacing w:lineRule="auto" w:line="264" w:before="0" w:after="16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Contents92">
    <w:name w:val="Contents 92"/>
    <w:link w:val="Contents9"/>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sPlusNormal11">
    <w:name w:val="ConsPlusNormal11"/>
    <w:link w:val="ConsPlusNormal1"/>
    <w:qFormat/>
    <w:pPr>
      <w:widowControl w:val="false"/>
      <w:suppressAutoHyphens w:val="tru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HeaderandFooter1">
    <w:name w:val="Header and Footer1"/>
    <w:link w:val="HeaderandFooter"/>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2">
    <w:name w:val="Header and Footer2"/>
    <w:basedOn w:val="Normal"/>
    <w:qFormat/>
    <w:pPr/>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Heading5Char1">
    <w:name w:val="Heading 5 Char1"/>
    <w:basedOn w:val="DefaultParagraphFont2"/>
    <w:link w:val="Heading5Char"/>
    <w:qFormat/>
    <w:pPr/>
    <w:rPr>
      <w:rFonts w:ascii="Arial" w:hAnsi="Arial"/>
      <w:b/>
      <w:sz w:val="24"/>
    </w:rPr>
  </w:style>
  <w:style w:type="paragraph" w:styleId="TextBasTxt11">
    <w:name w:val="TextBasTxt11"/>
    <w:basedOn w:val="Normal"/>
    <w:link w:val="TextBasTxt1"/>
    <w:qFormat/>
    <w:pPr>
      <w:widowControl w:val="false"/>
      <w:ind w:firstLine="567" w:left="0"/>
      <w:jc w:val="both"/>
    </w:pPr>
    <w:rPr/>
  </w:style>
  <w:style w:type="paragraph" w:styleId="annotationreference11">
    <w:name w:val="annotation reference11"/>
    <w:basedOn w:val="DefaultParagraphFont11"/>
    <w:link w:val="annotationreference1"/>
    <w:qFormat/>
    <w:pPr/>
    <w:rPr>
      <w:sz w:val="16"/>
    </w:rPr>
  </w:style>
  <w:style w:type="paragraph" w:styleId="Heading111">
    <w:name w:val="Heading 111"/>
    <w:link w:val="Heading11"/>
    <w:qFormat/>
    <w:pPr>
      <w:widowControl w:val="false"/>
      <w:suppressAutoHyphens w:val="tru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15">
    <w:name w:val="Содержимое врезки1"/>
    <w:basedOn w:val="Normal"/>
    <w:link w:val="Style5"/>
    <w:qFormat/>
    <w:pPr/>
    <w:rPr/>
  </w:style>
  <w:style w:type="paragraph" w:styleId="Contents12">
    <w:name w:val="Contents 12"/>
    <w:link w:val="Contents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TitleChar1">
    <w:name w:val="Title Char1"/>
    <w:basedOn w:val="DefaultParagraphFont2"/>
    <w:link w:val="TitleChar"/>
    <w:qFormat/>
    <w:pPr/>
    <w:rPr>
      <w:sz w:val="48"/>
    </w:rPr>
  </w:style>
  <w:style w:type="paragraph" w:styleId="HeaderChar1">
    <w:name w:val="Header Char1"/>
    <w:basedOn w:val="DefaultParagraphFont2"/>
    <w:link w:val="HeaderChar"/>
    <w:qFormat/>
    <w:pPr/>
    <w:rPr/>
  </w:style>
  <w:style w:type="paragraph" w:styleId="16">
    <w:name w:val="Содержимое таблицы1"/>
    <w:basedOn w:val="Normal"/>
    <w:link w:val="Style12"/>
    <w:qFormat/>
    <w:pPr>
      <w:widowControl w:val="false"/>
    </w:pPr>
    <w:rPr/>
  </w:style>
  <w:style w:type="paragraph" w:styleId="17">
    <w:name w:val="Заголовок таблицы1"/>
    <w:basedOn w:val="16"/>
    <w:link w:val="Style6"/>
    <w:qFormat/>
    <w:pPr>
      <w:widowControl w:val="false"/>
      <w:jc w:val="center"/>
    </w:pPr>
    <w:rPr>
      <w:b/>
    </w:rPr>
  </w:style>
  <w:style w:type="paragraph" w:styleId="TOC3">
    <w:name w:val="TOC 3"/>
    <w:next w:val="Normal"/>
    <w:uiPriority w:val="39"/>
    <w:pPr>
      <w:widowControl/>
      <w:suppressAutoHyphens w:val="true"/>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FontStyle1311">
    <w:name w:val="Font Style1311"/>
    <w:basedOn w:val="DefaultParagraphFont11"/>
    <w:link w:val="FontStyle131"/>
    <w:qFormat/>
    <w:pPr/>
    <w:rPr>
      <w:rFonts w:ascii="Times New Roman" w:hAnsi="Times New Roman"/>
    </w:rPr>
  </w:style>
  <w:style w:type="paragraph" w:styleId="TableofFigures">
    <w:name w:val="Table of Figures"/>
    <w:basedOn w:val="Normal"/>
    <w:next w:val="Normal"/>
    <w:pPr>
      <w:widowControl/>
      <w:spacing w:before="0" w:after="0"/>
    </w:pPr>
    <w:rPr/>
  </w:style>
  <w:style w:type="paragraph" w:styleId="BodyText311">
    <w:name w:val="Body Text 311"/>
    <w:basedOn w:val="Normal"/>
    <w:link w:val="BodyText31"/>
    <w:qFormat/>
    <w:pPr>
      <w:widowControl w:val="false"/>
      <w:spacing w:lineRule="auto" w:line="264"/>
    </w:pPr>
    <w:rPr>
      <w:sz w:val="28"/>
    </w:rPr>
  </w:style>
  <w:style w:type="paragraph" w:styleId="DefaultParagraphFont11">
    <w:name w:val="Default Paragraph Font11"/>
    <w:link w:val="DefaultParagraphFont1"/>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IndexHeading">
    <w:name w:val="Index Heading"/>
    <w:basedOn w:val="111"/>
    <w:pPr/>
    <w:rPr/>
  </w:style>
  <w:style w:type="paragraph" w:styleId="TOCHeading">
    <w:name w:val="TOC Heading"/>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SubtitleChar1">
    <w:name w:val="Subtitle Char1"/>
    <w:basedOn w:val="DefaultParagraphFont2"/>
    <w:link w:val="SubtitleChar"/>
    <w:qFormat/>
    <w:pPr/>
    <w:rPr>
      <w:sz w:val="24"/>
    </w:rPr>
  </w:style>
  <w:style w:type="paragraph" w:styleId="Heading511">
    <w:name w:val="Heading 511"/>
    <w:link w:val="Heading5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BalloonText11">
    <w:name w:val="Balloon Text11"/>
    <w:basedOn w:val="Normal"/>
    <w:link w:val="BalloonText1"/>
    <w:qFormat/>
    <w:pPr/>
    <w:rPr>
      <w:rFonts w:ascii="Tahoma" w:hAnsi="Tahoma"/>
      <w:sz w:val="16"/>
    </w:rPr>
  </w:style>
  <w:style w:type="paragraph" w:styleId="Heading4Char1">
    <w:name w:val="Heading 4 Char1"/>
    <w:basedOn w:val="DefaultParagraphFont2"/>
    <w:link w:val="Heading4Char"/>
    <w:qFormat/>
    <w:pPr/>
    <w:rPr>
      <w:rFonts w:ascii="Arial" w:hAnsi="Arial"/>
      <w:b/>
      <w:sz w:val="26"/>
    </w:rPr>
  </w:style>
  <w:style w:type="paragraph" w:styleId="Contents82">
    <w:name w:val="Contents 82"/>
    <w:link w:val="Contents8"/>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BodyTextIndent211">
    <w:name w:val="Body Text Indent 211"/>
    <w:basedOn w:val="Normal"/>
    <w:link w:val="BodyTextIndent21"/>
    <w:qFormat/>
    <w:pPr>
      <w:widowControl w:val="false"/>
      <w:ind w:firstLine="720" w:left="0"/>
      <w:jc w:val="both"/>
    </w:pPr>
    <w:rPr/>
  </w:style>
  <w:style w:type="paragraph" w:styleId="Heading3Char1">
    <w:name w:val="Heading 3 Char1"/>
    <w:basedOn w:val="DefaultParagraphFont2"/>
    <w:link w:val="Heading3Char"/>
    <w:qFormat/>
    <w:pPr/>
    <w:rPr>
      <w:rFonts w:ascii="Arial" w:hAnsi="Arial"/>
      <w:sz w:val="30"/>
    </w:rPr>
  </w:style>
  <w:style w:type="paragraph" w:styleId="Heading2Char1">
    <w:name w:val="Heading 2 Char1"/>
    <w:basedOn w:val="DefaultParagraphFont2"/>
    <w:link w:val="Heading2Char"/>
    <w:qFormat/>
    <w:pPr/>
    <w:rPr>
      <w:rFonts w:ascii="Arial" w:hAnsi="Arial"/>
      <w:sz w:val="34"/>
    </w:rPr>
  </w:style>
  <w:style w:type="paragraph" w:styleId="NoSpacing1">
    <w:name w:val="No Spacing1"/>
    <w:link w:val="NoSpacing"/>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EndnoteCharacters11">
    <w:name w:val="Endnote Characters11"/>
    <w:basedOn w:val="DefaultParagraphFont2"/>
    <w:link w:val="EndnoteCharacters1"/>
    <w:qFormat/>
    <w:pPr/>
    <w:rPr>
      <w:vertAlign w:val="superscript"/>
    </w:rPr>
  </w:style>
  <w:style w:type="paragraph" w:styleId="Footnote11">
    <w:name w:val="Footnote11"/>
    <w:basedOn w:val="Normal"/>
    <w:link w:val="Footnote1"/>
    <w:qFormat/>
    <w:pPr/>
    <w:rPr>
      <w:sz w:val="20"/>
    </w:rPr>
  </w:style>
  <w:style w:type="paragraph" w:styleId="18">
    <w:name w:val="Символ сноски1"/>
    <w:link w:val="Style8"/>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Footnote2">
    <w:name w:val="Footnote2"/>
    <w:basedOn w:val="Normal"/>
    <w:link w:val="Footnote"/>
    <w:qFormat/>
    <w:pPr>
      <w:widowControl/>
      <w:spacing w:lineRule="auto" w:line="240" w:before="0" w:after="40"/>
    </w:pPr>
    <w:rPr>
      <w:sz w:val="18"/>
    </w:rPr>
  </w:style>
  <w:style w:type="paragraph" w:styleId="ListParagraph11">
    <w:name w:val="List Paragraph11"/>
    <w:basedOn w:val="Normal"/>
    <w:link w:val="ListParagraph1"/>
    <w:qFormat/>
    <w:pPr>
      <w:widowControl w:val="false"/>
      <w:spacing w:lineRule="auto" w:line="276" w:before="0" w:after="200"/>
      <w:ind w:hanging="0" w:left="720"/>
      <w:contextualSpacing/>
    </w:pPr>
    <w:rPr>
      <w:rFonts w:ascii="Calibri" w:hAnsi="Calibri"/>
      <w:sz w:val="22"/>
    </w:rPr>
  </w:style>
  <w:style w:type="paragraph" w:styleId="InternetLink2">
    <w:name w:val="Internet Link2"/>
    <w:link w:val="InternetLink1"/>
    <w:qFormat/>
    <w:pPr>
      <w:widowControl w:val="false"/>
      <w:suppressAutoHyphens w:val="tru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Endnote11">
    <w:name w:val="Endnote11"/>
    <w:link w:val="Endnote1"/>
    <w:qFormat/>
    <w:pPr>
      <w:widowControl/>
      <w:suppressAutoHyphens w:val="true"/>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Heading411">
    <w:name w:val="Heading 411"/>
    <w:link w:val="Heading4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Footer12">
    <w:name w:val="Footer12"/>
    <w:link w:val="Footer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FootnoteSymbol">
    <w:name w:val="Footnote Symbol"/>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TextBoldCenter11">
    <w:name w:val="TextBoldCenter11"/>
    <w:basedOn w:val="Normal"/>
    <w:link w:val="TextBoldCenter1"/>
    <w:qFormat/>
    <w:pPr>
      <w:widowControl w:val="false"/>
      <w:spacing w:before="283" w:after="0"/>
      <w:jc w:val="center"/>
    </w:pPr>
    <w:rPr>
      <w:b/>
      <w:sz w:val="26"/>
    </w:rPr>
  </w:style>
  <w:style w:type="paragraph" w:styleId="Contents22">
    <w:name w:val="Contents 22"/>
    <w:link w:val="Contents2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211">
    <w:name w:val="Heading 211"/>
    <w:link w:val="Heading2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Style511">
    <w:name w:val="Style511"/>
    <w:basedOn w:val="Normal"/>
    <w:link w:val="Style51"/>
    <w:qFormat/>
    <w:pPr>
      <w:widowControl w:val="false"/>
      <w:spacing w:lineRule="exact" w:line="290"/>
      <w:ind w:firstLine="168" w:left="0"/>
      <w:jc w:val="both"/>
    </w:pPr>
    <w:rPr>
      <w:rFonts w:ascii="Calibri" w:hAnsi="Calibri"/>
    </w:rPr>
  </w:style>
  <w:style w:type="paragraph" w:styleId="TOC9">
    <w:name w:val="TOC 9"/>
    <w:next w:val="Normal"/>
    <w:uiPriority w:val="39"/>
    <w:pPr>
      <w:widowControl/>
      <w:suppressAutoHyphens w:val="true"/>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Textbody2">
    <w:name w:val="Text body2"/>
    <w:link w:val="Textbody"/>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113">
    <w:name w:val="Знак11"/>
    <w:basedOn w:val="Normal"/>
    <w:link w:val="1"/>
    <w:qFormat/>
    <w:pPr>
      <w:widowControl w:val="false"/>
      <w:spacing w:lineRule="exact" w:line="240" w:before="0" w:after="160"/>
    </w:pPr>
    <w:rPr/>
  </w:style>
  <w:style w:type="paragraph" w:styleId="Contents72">
    <w:name w:val="Contents 72"/>
    <w:link w:val="Contents7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9">
    <w:name w:val="Колонтитул1"/>
    <w:link w:val="Style9"/>
    <w:qFormat/>
    <w:pPr>
      <w:widowControl/>
      <w:suppressAutoHyphens w:val="true"/>
      <w:bidi w:val="0"/>
      <w:spacing w:lineRule="auto" w:line="240" w:before="0" w:after="160"/>
      <w:ind w:hanging="0" w:left="0" w:right="0"/>
      <w:jc w:val="both"/>
    </w:pPr>
    <w:rPr>
      <w:rFonts w:ascii="XO Thames" w:hAnsi="XO Thames" w:eastAsia="Tahoma" w:cs="Droid Sans"/>
      <w:color w:val="000000"/>
      <w:spacing w:val="0"/>
      <w:kern w:val="0"/>
      <w:sz w:val="28"/>
      <w:szCs w:val="20"/>
      <w:lang w:val="ru-RU" w:eastAsia="zh-CN" w:bidi="hi-IN"/>
    </w:rPr>
  </w:style>
  <w:style w:type="paragraph" w:styleId="FontStyle1111">
    <w:name w:val="Font Style1111"/>
    <w:basedOn w:val="DefaultParagraphFont11"/>
    <w:link w:val="FontStyle111"/>
    <w:qFormat/>
    <w:pPr/>
    <w:rPr>
      <w:rFonts w:ascii="Times New Roman" w:hAnsi="Times New Roman"/>
      <w:b/>
      <w:sz w:val="20"/>
    </w:rPr>
  </w:style>
  <w:style w:type="paragraph"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Normal"/>
    <w:link w:val="1111"/>
    <w:qFormat/>
    <w:pPr>
      <w:widowControl w:val="false"/>
      <w:spacing w:lineRule="exact" w:line="240" w:before="0" w:after="160"/>
    </w:pPr>
    <w:rPr>
      <w:rFonts w:ascii="Verdana" w:hAnsi="Verdana"/>
      <w:sz w:val="20"/>
    </w:rPr>
  </w:style>
  <w:style w:type="paragraph" w:styleId="pagenumber11">
    <w:name w:val="page number11"/>
    <w:basedOn w:val="DefaultParagraphFont11"/>
    <w:link w:val="pagenumber1"/>
    <w:qFormat/>
    <w:pPr/>
    <w:rPr/>
  </w:style>
  <w:style w:type="paragraph" w:styleId="TOC8">
    <w:name w:val="TOC 8"/>
    <w:next w:val="Normal"/>
    <w:uiPriority w:val="39"/>
    <w:pPr>
      <w:widowControl/>
      <w:suppressAutoHyphens w:val="true"/>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1112">
    <w:name w:val="Обычный111"/>
    <w:link w:val="11"/>
    <w:qFormat/>
    <w:pPr>
      <w:widowControl w:val="false"/>
      <w:suppressAutoHyphens w:val="tru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FootnoteCharacters11">
    <w:name w:val="Footnote Characters11"/>
    <w:link w:val="FootnoteCharacters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Style111">
    <w:name w:val="Style111"/>
    <w:basedOn w:val="Normal"/>
    <w:link w:val="Style11"/>
    <w:qFormat/>
    <w:pPr>
      <w:widowControl w:val="false"/>
      <w:spacing w:lineRule="exact" w:line="274"/>
      <w:ind w:firstLine="547" w:left="0"/>
      <w:jc w:val="both"/>
    </w:pPr>
    <w:rPr>
      <w:rFonts w:ascii="Calibri" w:hAnsi="Calibri"/>
    </w:rPr>
  </w:style>
  <w:style w:type="paragraph" w:styleId="Heading1Char1">
    <w:name w:val="Heading 1 Char1"/>
    <w:basedOn w:val="DefaultParagraphFont2"/>
    <w:link w:val="Heading1Char"/>
    <w:qFormat/>
    <w:pPr/>
    <w:rPr>
      <w:rFonts w:ascii="Arial" w:hAnsi="Arial"/>
      <w:sz w:val="40"/>
    </w:rPr>
  </w:style>
  <w:style w:type="paragraph" w:styleId="TOC5">
    <w:name w:val="TOC 5"/>
    <w:next w:val="Normal"/>
    <w:uiPriority w:val="39"/>
    <w:pPr>
      <w:widowControl/>
      <w:suppressAutoHyphens w:val="true"/>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IntenseQuote1">
    <w:name w:val="Intense Quote1"/>
    <w:basedOn w:val="Normal"/>
    <w:next w:val="Normal"/>
    <w:link w:val="IntenseQuote"/>
    <w:qFormat/>
    <w:pPr>
      <w:widowControl/>
      <w:pBdr>
        <w:top w:val="single" w:sz="4" w:space="5" w:color="FFFFFF"/>
        <w:left w:val="single" w:sz="4" w:space="10" w:color="FFFFFF"/>
        <w:bottom w:val="single" w:sz="4" w:space="5" w:color="FFFFFF"/>
        <w:right w:val="single" w:sz="4" w:space="10" w:color="FFFFFF"/>
      </w:pBdr>
      <w:spacing w:before="0" w:after="0"/>
      <w:ind w:left="720" w:right="720"/>
    </w:pPr>
    <w:rPr>
      <w:i/>
    </w:rPr>
  </w:style>
  <w:style w:type="paragraph" w:styleId="DefaultParagraphFont2">
    <w:name w:val="Default Paragraph Font2"/>
    <w:link w:val="DefaultParagraphFont"/>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Subtitle">
    <w:name w:val="Subtitle"/>
    <w:next w:val="Normal"/>
    <w:uiPriority w:val="11"/>
    <w:qFormat/>
    <w:pPr>
      <w:widowControl/>
      <w:suppressAutoHyphens w:val="true"/>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Heading312">
    <w:name w:val="Heading 312"/>
    <w:link w:val="Heading3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114">
    <w:name w:val="Знак Знак Знак Знак11"/>
    <w:basedOn w:val="Normal"/>
    <w:link w:val="12"/>
    <w:qFormat/>
    <w:pPr>
      <w:widowControl w:val="false"/>
      <w:spacing w:lineRule="exact" w:line="240" w:before="0" w:after="160"/>
    </w:pPr>
    <w:rPr/>
  </w:style>
  <w:style w:type="paragraph" w:styleId="ListParagraph2">
    <w:name w:val="List Paragraph2"/>
    <w:basedOn w:val="Normal"/>
    <w:link w:val="ListParagraph"/>
    <w:qFormat/>
    <w:pPr>
      <w:widowControl/>
      <w:spacing w:before="0" w:after="0"/>
      <w:ind w:left="720"/>
      <w:contextualSpacing/>
    </w:pPr>
    <w:rPr/>
  </w:style>
  <w:style w:type="paragraph" w:styleId="BodyTextIndent311">
    <w:name w:val="Body Text Indent 311"/>
    <w:basedOn w:val="Normal"/>
    <w:link w:val="BodyTextIndent31"/>
    <w:qFormat/>
    <w:pPr>
      <w:widowControl w:val="false"/>
      <w:spacing w:before="0" w:after="120"/>
      <w:ind w:firstLine="720" w:left="0"/>
      <w:jc w:val="both"/>
    </w:pPr>
    <w:rPr>
      <w:b/>
      <w:sz w:val="28"/>
    </w:rPr>
  </w:style>
  <w:style w:type="paragraph" w:styleId="BodyTextIndented2">
    <w:name w:val="Body Text, Indented2"/>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Title">
    <w:name w:val="Title"/>
    <w:next w:val="Normal"/>
    <w:uiPriority w:val="10"/>
    <w:qFormat/>
    <w:pPr>
      <w:widowControl/>
      <w:suppressAutoHyphens w:val="true"/>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BodyText211">
    <w:name w:val="Body Text 211"/>
    <w:basedOn w:val="Normal"/>
    <w:link w:val="BodyText21"/>
    <w:qFormat/>
    <w:pPr>
      <w:widowControl w:val="false"/>
      <w:tabs>
        <w:tab w:val="clear" w:pos="720"/>
        <w:tab w:val="left" w:pos="284" w:leader="none"/>
      </w:tabs>
      <w:ind w:hanging="284" w:left="284"/>
      <w:jc w:val="both"/>
    </w:pPr>
    <w:rPr/>
  </w:style>
  <w:style w:type="paragraph" w:styleId="Header12">
    <w:name w:val="Header12"/>
    <w:link w:val="Header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Subtitle12">
    <w:name w:val="Subtitle12"/>
    <w:link w:val="Subtitle11"/>
    <w:qFormat/>
    <w:pPr>
      <w:widowControl w:val="false"/>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annotationsubject11">
    <w:name w:val="annotation subject11"/>
    <w:basedOn w:val="annotationtext11"/>
    <w:next w:val="annotationtext11"/>
    <w:link w:val="annotationsubject1"/>
    <w:qFormat/>
    <w:pPr/>
    <w:rPr>
      <w:b/>
    </w:rPr>
  </w:style>
  <w:style w:type="paragraph" w:styleId="2">
    <w:name w:val="Содержимое врезки2"/>
    <w:basedOn w:val="Normal"/>
    <w:qFormat/>
    <w:pPr/>
    <w:rPr/>
  </w:style>
  <w:style w:type="table" w:styleId="Style_109">
    <w:name w:val="List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10">
    <w:name w:val="Grid Table 1 Light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11">
    <w:name w:val="List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112">
    <w:name w:val="Grid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113">
    <w:name w:val="Bordered &amp; Lined - Accent 4"/>
    <w:basedOn w:val="Style_6"/>
    <w:pPr>
      <w:spacing w:after="0" w:line="240" w:lineRule="auto"/>
    </w:p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114">
    <w:name w:val="Grid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15">
    <w:name w:val="Grid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16">
    <w:name w:val="List Table 1 Light - Accent 3"/>
    <w:basedOn w:val="Style_6"/>
    <w:pPr>
      <w:spacing w:after="0" w:line="240" w:lineRule="auto"/>
    </w:p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17">
    <w:name w:val="List Table 2 - Accent 1"/>
    <w:basedOn w:val="Style_6"/>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118">
    <w:name w:val="List Table 7 Colorful - Accent 5"/>
    <w:basedOn w:val="Style_6"/>
    <w:pPr>
      <w:spacing w:after="0" w:line="240" w:lineRule="auto"/>
    </w:pPr>
    <w:tblPr>
      <w:tblBorders>
        <w:right w:val="single" w:themeColor="accent5" w:themeTint="9a" w:sz="4"/>
      </w:tblBorders>
    </w:tblPr>
  </w:style>
  <w:style w:type="table" w:styleId="Style_119">
    <w:name w:val="Lined - Accent"/>
    <w:basedOn w:val="Style_6"/>
    <w:pPr>
      <w:spacing w:after="0" w:line="240" w:lineRule="auto"/>
    </w:pPr>
  </w:style>
  <w:style w:type="table" w:styleId="Style_120">
    <w:name w:val="Grid Table 5 Dark- Accent 4"/>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21">
    <w:name w:val="Bordered &amp; Lined - Accent 6"/>
    <w:basedOn w:val="Style_6"/>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22">
    <w:name w:val="List Table 7 Colorful - Accent 3"/>
    <w:basedOn w:val="Style_6"/>
    <w:pPr>
      <w:spacing w:after="0" w:line="240" w:lineRule="auto"/>
    </w:pPr>
    <w:tblPr>
      <w:tblBorders>
        <w:right w:val="single" w:themeColor="accent3" w:themeTint="98" w:sz="4"/>
      </w:tblBorders>
    </w:tblPr>
  </w:style>
  <w:style w:type="table" w:styleId="Style_123">
    <w:name w:val="Bordered &amp; Lined - Accent 5"/>
    <w:basedOn w:val="Style_6"/>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24">
    <w:name w:val="List Table 1 Light"/>
    <w:basedOn w:val="Style_6"/>
    <w:pPr>
      <w:spacing w:after="0" w:line="240" w:lineRule="auto"/>
    </w:pPr>
  </w:style>
  <w:style w:type="table" w:styleId="Style_125">
    <w:name w:val="Grid Table 5 Dark - Accent 6"/>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26">
    <w:name w:val="List Table 7 Colorful - Accent 4"/>
    <w:basedOn w:val="Style_6"/>
    <w:pPr>
      <w:spacing w:after="0" w:line="240" w:lineRule="auto"/>
    </w:pPr>
    <w:tblPr>
      <w:tblBorders>
        <w:right w:val="single" w:themeColor="accent4" w:themeTint="9a" w:sz="4"/>
      </w:tblBorders>
    </w:tblPr>
  </w:style>
  <w:style w:type="table" w:styleId="Style_127">
    <w:name w:val="Grid Table 7 Colorful - Accent 5"/>
    <w:basedOn w:val="Style_6"/>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28">
    <w:name w:val="Grid Table 1 Light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29">
    <w:name w:val="List Table 1 Light - Accent 1"/>
    <w:basedOn w:val="Style_6"/>
    <w:pPr>
      <w:spacing w:after="0" w:line="240" w:lineRule="auto"/>
    </w:pPr>
  </w:style>
  <w:style w:type="table" w:styleId="Style_130">
    <w:name w:val="Grid Table 2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131">
    <w:name w:val="List Table 7 Colorful"/>
    <w:basedOn w:val="Style_6"/>
    <w:pPr>
      <w:spacing w:after="0" w:line="240" w:lineRule="auto"/>
    </w:pPr>
    <w:tblPr>
      <w:tblBorders>
        <w:right w:val="single" w:themeColor="text1" w:themeTint="80" w:sz="4"/>
      </w:tblBorders>
    </w:tblPr>
  </w:style>
  <w:style w:type="table" w:styleId="Style_132">
    <w:name w:val="List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133">
    <w:name w:val="List Table 3 - Accent 1"/>
    <w:basedOn w:val="Style_6"/>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styleId="Style_134">
    <w:name w:val="Grid Table 1 Light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35">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36">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37">
    <w:name w:val="Grid Table 3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138">
    <w:name w:val="List Table 6 Colorful - Accent 2"/>
    <w:basedOn w:val="Style_6"/>
    <w:pPr>
      <w:spacing w:after="0" w:line="240" w:lineRule="auto"/>
    </w:pPr>
    <w:tblPr>
      <w:tblBorders>
        <w:top w:val="single" w:themeColor="accent2" w:themeTint="97" w:sz="4"/>
        <w:bottom w:val="single" w:themeColor="accent2" w:themeTint="97" w:sz="4"/>
      </w:tblBorders>
    </w:tblPr>
  </w:style>
  <w:style w:type="table" w:styleId="Style_139">
    <w:name w:val="Bordered &amp; Lined - Accent 3"/>
    <w:basedOn w:val="Style_6"/>
    <w:pPr>
      <w:spacing w:after="0" w:line="240" w:lineRule="auto"/>
    </w:p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 w:type="table" w:styleId="Style_140">
    <w:name w:val="Lined - Accent 1"/>
    <w:basedOn w:val="Style_6"/>
    <w:pPr>
      <w:spacing w:after="0" w:line="240" w:lineRule="auto"/>
    </w:pPr>
  </w:style>
  <w:style w:type="table" w:styleId="Style_141">
    <w:name w:val="List Table 6 Colorful - Accent 6"/>
    <w:basedOn w:val="Style_6"/>
    <w:pPr>
      <w:spacing w:after="0" w:line="240" w:lineRule="auto"/>
    </w:pPr>
    <w:tblPr>
      <w:tblBorders>
        <w:top w:val="single" w:themeColor="accent6" w:themeTint="98" w:sz="4"/>
        <w:bottom w:val="single" w:themeColor="accent6" w:themeTint="98" w:sz="4"/>
      </w:tblBorders>
    </w:tblPr>
  </w:style>
  <w:style w:type="table" w:styleId="Style_142">
    <w:name w:val="Grid Table 5 Dark - Accent 2"/>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43">
    <w:name w:val="Lined - Accent 6"/>
    <w:basedOn w:val="Style_6"/>
    <w:pPr>
      <w:spacing w:after="0" w:line="240" w:lineRule="auto"/>
    </w:pPr>
  </w:style>
  <w:style w:type="table" w:styleId="Style_144">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5">
    <w:name w:val="List Table 1 Light - Accent 6"/>
    <w:basedOn w:val="Style_6"/>
    <w:pPr>
      <w:spacing w:after="0" w:line="240" w:lineRule="auto"/>
    </w:pPr>
  </w:style>
  <w:style w:type="table" w:styleId="Style_146">
    <w:name w:val="Grid Table 6 Colorful - Accent 5"/>
    <w:basedOn w:val="Style_6"/>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47">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8">
    <w:name w:val="List Table 3 - Accent 6"/>
    <w:basedOn w:val="Style_6"/>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149">
    <w:name w:val="Grid Table 3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50">
    <w:name w:val="Grid Table 1 Light"/>
    <w:basedOn w:val="Style_6"/>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151">
    <w:name w:val="Grid Table 5 Dark"/>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52">
    <w:name w:val="Grid Table 6 Colorful - Accent 1"/>
    <w:basedOn w:val="Style_6"/>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53">
    <w:name w:val="Grid Table 6 Colorful - Accent 6"/>
    <w:basedOn w:val="Style_6"/>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54">
    <w:name w:val="List Table 6 Colorful - Accent 1"/>
    <w:basedOn w:val="Style_6"/>
    <w:pPr>
      <w:spacing w:after="0" w:line="240" w:lineRule="auto"/>
    </w:pPr>
    <w:tblPr>
      <w:tblBorders>
        <w:top w:val="single" w:themeColor="accent1" w:sz="4"/>
        <w:bottom w:val="single" w:themeColor="accent1" w:sz="4"/>
      </w:tblBorders>
    </w:tblPr>
  </w:style>
  <w:style w:type="table" w:styleId="Style_155">
    <w:name w:val="Plain Table 1"/>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56">
    <w:name w:val="List Table 5 Dark - Accent 3"/>
    <w:basedOn w:val="Style_6"/>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157">
    <w:name w:val="Grid Table 7 Colorful - Accent 6"/>
    <w:basedOn w:val="Style_6"/>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58">
    <w:name w:val="List Table 3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159">
    <w:name w:val="Bordered"/>
    <w:basedOn w:val="Style_6"/>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160">
    <w:name w:val="List Table 3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161">
    <w:name w:val="List Table 2 - Accent 6"/>
    <w:basedOn w:val="Style_6"/>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162">
    <w:name w:val="Grid Table 7 Colorful - Accent 1"/>
    <w:basedOn w:val="Style_6"/>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63">
    <w:name w:val="Plain Table 5"/>
    <w:basedOn w:val="Style_6"/>
    <w:pPr>
      <w:spacing w:after="0" w:line="240" w:lineRule="auto"/>
    </w:pPr>
  </w:style>
  <w:style w:type="table" w:styleId="Style_164">
    <w:name w:val="List Table 2"/>
    <w:basedOn w:val="Style_6"/>
    <w:pPr>
      <w:spacing w:after="0" w:line="240" w:lineRule="auto"/>
    </w:pPr>
    <w:tblPr>
      <w:tblBorders>
        <w:top w:val="single" w:themeColor="text1" w:themeTint="90" w:sz="4"/>
        <w:bottom w:val="single" w:themeColor="text1" w:themeTint="90" w:sz="4"/>
        <w:insideH w:val="single" w:themeColor="text1" w:themeTint="90" w:sz="4"/>
      </w:tblBorders>
    </w:tblPr>
  </w:style>
  <w:style w:type="table" w:styleId="Style_165">
    <w:name w:val="Grid Table 3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66">
    <w:name w:val="Grid Table 5 Dark - Accent 5"/>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67">
    <w:name w:val="List Table 2 - Accent 2"/>
    <w:basedOn w:val="Style_6"/>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168">
    <w:name w:val="Bordered &amp; Lined - Accent 2"/>
    <w:basedOn w:val="Style_6"/>
    <w:pPr>
      <w:spacing w:after="0" w:line="240" w:lineRule="auto"/>
    </w:p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styleId="Style_169">
    <w:name w:val="List Table 3"/>
    <w:basedOn w:val="Style_6"/>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170">
    <w:name w:val="Lined - Accent 2"/>
    <w:basedOn w:val="Style_6"/>
    <w:pPr>
      <w:spacing w:after="0" w:line="240" w:lineRule="auto"/>
    </w:pPr>
  </w:style>
  <w:style w:type="table" w:styleId="Style_171">
    <w:name w:val="Grid Table 7 Colorful - Accent 4"/>
    <w:basedOn w:val="Style_6"/>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72">
    <w:name w:val="List Table 4"/>
    <w:basedOn w:val="Style_6"/>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173">
    <w:name w:val="List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174">
    <w:name w:val="Grid Table 6 Colorful"/>
    <w:basedOn w:val="Style_6"/>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175">
    <w:name w:val="Bordered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76">
    <w:name w:val="Grid Table 1 Light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77">
    <w:name w:val="List Table 6 Colorful - Accent 3"/>
    <w:basedOn w:val="Style_6"/>
    <w:pPr>
      <w:spacing w:after="0" w:line="240" w:lineRule="auto"/>
    </w:pPr>
    <w:tblPr>
      <w:tblBorders>
        <w:top w:val="single" w:themeColor="accent3" w:themeTint="98" w:sz="4"/>
        <w:bottom w:val="single" w:themeColor="accent3" w:themeTint="98" w:sz="4"/>
      </w:tblBorders>
    </w:tblPr>
  </w:style>
  <w:style w:type="table" w:styleId="Style_178">
    <w:name w:val="List Table 1 Light - Accent 2"/>
    <w:basedOn w:val="Style_6"/>
    <w:pPr>
      <w:spacing w:after="0" w:line="240" w:lineRule="auto"/>
    </w:pPr>
  </w:style>
  <w:style w:type="table" w:styleId="Style_179">
    <w:name w:val="Grid Table 6 Colorful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80">
    <w:name w:val="Lined - Accent 5"/>
    <w:basedOn w:val="Style_6"/>
    <w:pPr>
      <w:spacing w:after="0" w:line="240" w:lineRule="auto"/>
    </w:pPr>
  </w:style>
  <w:style w:type="table" w:styleId="Style_181">
    <w:name w:val="Grid Table 4"/>
    <w:basedOn w:val="Style_6"/>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182">
    <w:name w:val="Grid Table 1 Light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83">
    <w:name w:val="Grid Table 7 Colorful"/>
    <w:basedOn w:val="Style_6"/>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184">
    <w:name w:val="Grid Table 2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85">
    <w:name w:val="Grid Table 7 Colorful - Accent 3"/>
    <w:basedOn w:val="Style_6"/>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86">
    <w:name w:val="List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187">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88">
    <w:name w:val="Grid Table 3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89">
    <w:name w:val="Table Grid Light"/>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90">
    <w:name w:val="List Table 7 Colorful - Accent 1"/>
    <w:basedOn w:val="Style_6"/>
    <w:pPr>
      <w:spacing w:after="0" w:line="240" w:lineRule="auto"/>
    </w:pPr>
    <w:tblPr>
      <w:tblBorders>
        <w:right w:val="single" w:themeColor="accent1" w:sz="4"/>
      </w:tblBorders>
    </w:tblPr>
  </w:style>
  <w:style w:type="table" w:styleId="Style_191">
    <w:name w:val="List Table 7 Colorful - Accent 2"/>
    <w:basedOn w:val="Style_6"/>
    <w:pPr>
      <w:spacing w:after="0" w:line="240" w:lineRule="auto"/>
    </w:pPr>
    <w:tblPr>
      <w:tblBorders>
        <w:right w:val="single" w:themeColor="accent2" w:themeTint="97" w:sz="4"/>
      </w:tblBorders>
    </w:tblPr>
  </w:style>
  <w:style w:type="table" w:styleId="Style_192">
    <w:name w:val="Grid Table 7 Colorful - Accent 2"/>
    <w:basedOn w:val="Style_6"/>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93">
    <w:name w:val="List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194">
    <w:name w:val="Grid Table 2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95">
    <w:name w:val="Grid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196">
    <w:name w:val="Bordered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97">
    <w:name w:val="Grid Table 2"/>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198">
    <w:name w:val="List Table 2 - Accent 3"/>
    <w:basedOn w:val="Style_6"/>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styleId="Style_199">
    <w:name w:val="List Table 5 Dark - Accent 4"/>
    <w:basedOn w:val="Style_6"/>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200">
    <w:name w:val="Lined - Accent 3"/>
    <w:basedOn w:val="Style_6"/>
    <w:pPr>
      <w:spacing w:after="0" w:line="240" w:lineRule="auto"/>
    </w:pPr>
  </w:style>
  <w:style w:type="table" w:styleId="Style_201">
    <w:name w:val="List Table 5 Dark - Accent 1"/>
    <w:basedOn w:val="Style_6"/>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202">
    <w:name w:val="Grid Table 3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203">
    <w:name w:val="Bordered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204">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5">
    <w:name w:val="Plain Table 4"/>
    <w:basedOn w:val="Style_6"/>
    <w:pPr>
      <w:spacing w:after="0" w:line="240" w:lineRule="auto"/>
    </w:pPr>
  </w:style>
  <w:style w:type="table" w:styleId="Style_206">
    <w:name w:val="Bordered &amp; Lined - Accent"/>
    <w:basedOn w:val="Style_6"/>
    <w:pPr>
      <w:spacing w:after="0" w:line="240" w:lineRule="auto"/>
    </w:p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207">
    <w:name w:val="List Table 3 - Accent 3"/>
    <w:basedOn w:val="Style_6"/>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208">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9">
    <w:name w:val="Grid Table 1 Light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210">
    <w:name w:val="List Table 2 - Accent 5"/>
    <w:basedOn w:val="Style_6"/>
    <w:pPr>
      <w:spacing w:after="0" w:line="240" w:lineRule="auto"/>
    </w:pPr>
    <w:tblPr>
      <w:tblBorders>
        <w:top w:val="single" w:themeColor="accent5" w:themeTint="90" w:sz="4"/>
        <w:bottom w:val="single" w:themeColor="accent5" w:themeTint="90" w:sz="4"/>
        <w:insideH w:val="single" w:themeColor="accent5" w:themeTint="90" w:sz="4"/>
      </w:tblBorders>
    </w:tblPr>
  </w:style>
  <w:style w:type="table" w:styleId="Style_211">
    <w:name w:val="Bordered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212">
    <w:name w:val="Grid Table 3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213">
    <w:name w:val="List Table 7 Colorful - Accent 6"/>
    <w:basedOn w:val="Style_6"/>
    <w:pPr>
      <w:spacing w:after="0" w:line="240" w:lineRule="auto"/>
    </w:pPr>
    <w:tblPr>
      <w:tblBorders>
        <w:right w:val="single" w:themeColor="accent6" w:themeTint="98" w:sz="4"/>
      </w:tblBorders>
    </w:tblPr>
  </w:style>
  <w:style w:type="table" w:styleId="Style_214">
    <w:name w:val="List Table 6 Colorful - Accent 5"/>
    <w:basedOn w:val="Style_6"/>
    <w:pPr>
      <w:spacing w:after="0" w:line="240" w:lineRule="auto"/>
    </w:pPr>
    <w:tblPr>
      <w:tblBorders>
        <w:top w:val="single" w:themeColor="accent5" w:themeTint="9a" w:sz="4"/>
        <w:bottom w:val="single" w:themeColor="accent5" w:themeTint="9a" w:sz="4"/>
      </w:tblBorders>
    </w:tblPr>
  </w:style>
  <w:style w:type="table" w:styleId="Style_215">
    <w:name w:val="Plain Table 3"/>
    <w:basedOn w:val="Style_6"/>
    <w:pPr>
      <w:spacing w:after="0" w:line="240" w:lineRule="auto"/>
    </w:pPr>
  </w:style>
  <w:style w:type="table" w:styleId="Style_216">
    <w:name w:val="Grid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217">
    <w:name w:val="Grid Table 6 Colorful - Accent 3"/>
    <w:basedOn w:val="Style_6"/>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218">
    <w:name w:val="Grid Table 5 Dark- Accent 1"/>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19">
    <w:name w:val="Grid Table 3"/>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220">
    <w:name w:val="Grid Table 5 Dark - Accent 3"/>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21">
    <w:name w:val="List Table 1 Light - Accent 5"/>
    <w:basedOn w:val="Style_6"/>
    <w:pPr>
      <w:spacing w:after="0" w:line="240" w:lineRule="auto"/>
    </w:pPr>
  </w:style>
  <w:style w:type="table" w:styleId="Style_222">
    <w:name w:val="List Table 3 - Accent 5"/>
    <w:basedOn w:val="Style_6"/>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223">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24">
    <w:name w:val="Grid Table 2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225">
    <w:name w:val="Bordered &amp; Lined - Accent 1"/>
    <w:basedOn w:val="Style_6"/>
    <w:pPr>
      <w:spacing w:after="0" w:line="240" w:lineRule="auto"/>
    </w:p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226">
    <w:name w:val="Bordered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227">
    <w:name w:val="List Table 2 - Accent 4"/>
    <w:basedOn w:val="Style_6"/>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228">
    <w:name w:val="List Table 1 Light - Accent 4"/>
    <w:basedOn w:val="Style_6"/>
    <w:pPr>
      <w:spacing w:after="0" w:line="240" w:lineRule="auto"/>
    </w:pPr>
  </w:style>
  <w:style w:type="table" w:styleId="Style_229">
    <w:name w:val="Bordered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230">
    <w:name w:val="List Table 6 Colorful"/>
    <w:basedOn w:val="Style_6"/>
    <w:pPr>
      <w:spacing w:after="0" w:line="240" w:lineRule="auto"/>
    </w:pPr>
    <w:tblPr>
      <w:tblBorders>
        <w:top w:val="single" w:themeColor="text1" w:themeTint="80" w:sz="4"/>
        <w:bottom w:val="single" w:themeColor="text1" w:themeTint="80" w:sz="4"/>
      </w:tblBorders>
    </w:tblPr>
  </w:style>
  <w:style w:type="table" w:styleId="Style_231">
    <w:name w:val="Grid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232">
    <w:name w:val="Grid Table 2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233">
    <w:name w:val="Grid Table 6 Colorful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234">
    <w:name w:val="Lined - Accent 4"/>
    <w:basedOn w:val="Style_6"/>
    <w:pPr>
      <w:spacing w:after="0" w:line="240" w:lineRule="auto"/>
    </w:pPr>
  </w:style>
  <w:style w:type="table" w:styleId="Style_235">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36">
    <w:name w:val="List Table 5 Dark - Accent 5"/>
    <w:basedOn w:val="Style_6"/>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237">
    <w:name w:val="List Table 5 Dark"/>
    <w:basedOn w:val="Style_6"/>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238">
    <w:name w:val="Grid Table 2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239">
    <w:name w:val="List Table 6 Colorful - Accent 4"/>
    <w:basedOn w:val="Style_6"/>
    <w:pPr>
      <w:spacing w:after="0" w:line="240" w:lineRule="auto"/>
    </w:pPr>
    <w:tblPr>
      <w:tblBorders>
        <w:top w:val="single" w:themeColor="accent4" w:themeTint="9a" w:sz="4"/>
        <w:bottom w:val="single" w:themeColor="accent4" w:themeTint="9a" w:sz="4"/>
      </w:tblBorders>
    </w:tblPr>
  </w:style>
  <w:style w:type="table" w:styleId="Style_240">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41">
    <w:name w:val="Plain Table 2"/>
    <w:basedOn w:val="Style_6"/>
    <w:pPr>
      <w:spacing w:after="0" w:line="240" w:lineRule="auto"/>
    </w:pPr>
    <w:tblPr>
      <w:tblBorders>
        <w:top w:val="single" w:themeColor="text1" w:sz="4"/>
        <w:left w:val="nil" w:themeColor="text1" w:sz="4"/>
        <w:bottom w:val="single" w:themeColor="text1" w:sz="4"/>
        <w:right w:val="nil" w:themeColor="text1" w:sz="4"/>
      </w:tblBorders>
      <w:tblCellMar>
        <w:top w:w="0" w:type="dxa"/>
        <w:left w:w="108" w:type="dxa"/>
        <w:bottom w:w="0" w:type="dxa"/>
        <w:right w:w="108" w:type="dxa"/>
      </w:tblCellMar>
    </w:tblPr>
  </w:style>
  <w:style w:type="table" w:styleId="Style_242">
    <w:name w:val="List Table 5 Dark - Accent 2"/>
    <w:basedOn w:val="Style_6"/>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243">
    <w:name w:val="List Table 5 Dark - Accent 6"/>
    <w:basedOn w:val="Style_6"/>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default="1" w:styleId="Style_6">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LibreOffice/24.2.6.2$Linux_X86_64 LibreOffice_project/420$Build-2</Application>
  <AppVersion>15.0000</AppVersion>
  <Pages>16</Pages>
  <Words>4943</Words>
  <Characters>35219</Characters>
  <CharactersWithSpaces>39879</CharactersWithSpaces>
  <Paragraphs>454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2026-06-11T05:54:35Z</dcterms:created>
  <dc:creator/>
  <dc:description/>
  <dc:language>ru-RU</dc:language>
  <cp:lastModifiedBy/>
  <dcterms:modified xsi:type="dcterms:W3CDTF">2026-06-15T09:22:56Z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